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Silicon Stratigraphy: A Provenance-First Framework for Preserving Pre-LLM Digital Artifacts in Archaeological and Cultural Heritage Contexts</w:t>
      </w:r>
    </w:p>
    <w:p>
      <w:r>
        <w:t>Scott J. Boudreaux, Elyan Labs, Louisiana, USA</w:t>
      </w:r>
    </w:p>
    <w:p>
      <w:r>
        <w:t>Abstract</w:t>
      </w:r>
    </w:p>
    <w:p>
      <w:r>
        <w:t>Digital archaeology now faces a practical preservation problem: how to retain high-confidence human digital records as machine-generated media rapidly expands. This paper proposes Silicon Stratigraphy, a provenance-first framework for preserving pre-LLM artifacts while documenting post-LLM transformations in archaeology and cultural heritage workflows.</w:t>
      </w:r>
    </w:p>
    <w:p>
      <w:r>
        <w:t>Keywords: digital archaeology, digital preservation, provenance, generative AI, web archives</w:t>
      </w:r>
    </w:p>
    <w:p>
      <w:r>
        <w:t>Introduction</w:t>
      </w:r>
    </w:p>
    <w:p>
      <w:r>
        <w:t>Archaeology increasingly depends on digital evidence. The key risk in AI-mediated workflows is undocumented transformation of source material. Silicon Stratigraphy separates source layers from derivatives and enforces lineage tracking.</w:t>
      </w:r>
    </w:p>
    <w:p>
      <w:r>
        <w:t>Background and Standards</w:t>
      </w:r>
    </w:p>
    <w:p>
      <w:r>
        <w:t>The framework aligns with OAIS, Memento, and PROV-O and applies transparency and accountability principles from AI governance frameworks.</w:t>
      </w:r>
    </w:p>
    <w:p>
      <w:r>
        <w:t>Framework</w:t>
      </w:r>
    </w:p>
    <w:p>
      <w:r>
        <w:t>Pipeline: Acquire, Fixity, Anchor, Replicate, Transform, Audit. Each artifact keeps byte object, digest, timestamp, execution context, and lineage metadata.</w:t>
      </w:r>
    </w:p>
    <w:p>
      <w:r>
        <w:t>Case Study</w:t>
      </w:r>
    </w:p>
    <w:p>
      <w:r>
        <w:t>A live implementation uses RustChain attestation events and mixed legacy and modern compute environments to preserve and verify artifacts.</w:t>
      </w:r>
    </w:p>
    <w:p>
      <w:r>
        <w:t>Evaluation Criteria</w:t>
      </w:r>
    </w:p>
    <w:p>
      <w:r>
        <w:t>Recoverability, fixity integrity, lineage completeness, temporal auditability, and clear source-versus-derivative disclosure.</w:t>
      </w:r>
    </w:p>
    <w:p>
      <w:r>
        <w:t>Limitations</w:t>
      </w:r>
    </w:p>
    <w:p>
      <w:r>
        <w:t>Single-organization implementation and no multi-site controlled trial in this manuscript.</w:t>
      </w:r>
    </w:p>
    <w:p>
      <w:r>
        <w:t>Conclusion</w:t>
      </w:r>
    </w:p>
    <w:p>
      <w:r>
        <w:t>The core risk is undocumented transformation; the practical response is provenance discipline with auditable records.</w:t>
      </w:r>
    </w:p>
    <w:p>
      <w:r>
        <w:t>References</w:t>
      </w:r>
    </w:p>
    <w:p>
      <w:r>
        <w:t>Consultative Committee for Space Data Systems. 2012. Reference Model for an Open Archival Information System (OAIS).</w:t>
      </w:r>
    </w:p>
    <w:p>
      <w:r>
        <w:t>Lebo, Timothy, Satya Sahoo, and Deborah McGuinness, eds. 2013. PROV-O: The PROV Ontology.</w:t>
      </w:r>
    </w:p>
    <w:p>
      <w:r>
        <w:t>Van de Sompel, Herbert, Michael L. Nelson, Robert Sanderson, Lyudmila Balakireva, Scott Ainsworth, and Harihar Shankar. 2013. RFC 7089.</w:t>
      </w:r>
    </w:p>
    <w:p>
      <w:r>
        <w:t>UNESCO. 2021. Recommendation on the Ethics of Artificial Intelligence.</w:t>
      </w:r>
    </w:p>
    <w:p>
      <w:r>
        <w:t>National Institute of Standards and Technology. 2023. Artificial Intelligence Risk Management Framework (AI RMF 1.0).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