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72"/>
          <w:szCs w:val="72"/>
        </w:rPr>
        <w:t xml:space="preserve">tiny-os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Implementation Phases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Rust · Raspberry Pi 5 (BCM2712) · AArch64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Portable to other ARM Cortex-A / Cortex-M cores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 · 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document breaks the implementation of tiny-os into ten incremental phases. Each phase produces a working, testable system that builds on the previous phase. The design prioritizes portability: every phase identifies which components are architecture-specific and wraps them behind Rust traits so that porting to a new ARM core (or beyond) requires implementing a bounded set of trait impls rather than rewriting the entire phase.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primary target is the Raspberry Pi 5 (BCM2712 SoC, quad Cortex-A76, GIC-400, RP1 southbridge). The architecture assumes bare-metal operation with the RPi firmware loading the kernel image and passing a device tree blob.</w:t>
      </w:r>
    </w:p>
    <w:p>
      <w:pPr>
        <w:pStyle w:val="Heading2"/>
      </w:pPr>
      <w:r>
        <w:t xml:space="preserve">Phase Dependency Map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Each phase depends on the ones before it. Phases 8–10 have some internal parallelism — DMA and block storage can proceed alongside the filesystem if the block device trait is defined 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18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/ Portable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Bare-Metal Bootstrap &amp; UART Console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Mostly arch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Exception Vectors, GIC-400 &amp; Timer IRQ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Phases 1–1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Mostly arch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Memory Management — Page Allocator &amp; MMU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Phases 1–2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Mostly arch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 Model &amp; Preemptive Scheduler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Phases 1–3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Synchronization Primitives &amp; IPC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Phases 1–4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Device Driver Framework &amp; Core Drivers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Phases 1–5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SMP — Multi-Core Scheduling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Phases 1–6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DMA Engine &amp; Block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Phases 1–7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Mostly portable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Filesystem &amp; Shell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Phases 1–8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Mostly portable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Networking (Ethernet/WiFi) &amp; User-Space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Phases 1–9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Mostly arch</w:t>
            </w:r>
          </w:p>
        </w:tc>
      </w:tr>
    </w:tbl>
    <w:p>
      <w:pPr>
        <w:pStyle w:val="Heading2"/>
      </w:pPr>
      <w:r>
        <w:t xml:space="preserve">Estimated Timeline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Total estimated effort: 28–40 weeks for a single developer working part-time, or 14–20 weeks full-time. Phases 1–5 form the "minimum viable RTOS" (~12–17 weeks) — a preemptive multi-tasking kernel with synchronization, suitable for embedded use without a filesystem or networking.</w:t>
      </w:r>
    </w:p>
    <w:p>
      <w:r>
        <w:br w:type="page"/>
      </w:r>
    </w:p>
    <w:p>
      <w:pPr>
        <w:pStyle w:val="Heading1"/>
      </w:pPr>
      <w:r>
        <w:t xml:space="preserve">Phase 1: Bare-Metal Bootstrap &amp; UART Console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"First light" — prove the toolchain works and get serial output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2–3 weeks</w:t>
      </w:r>
    </w:p>
    <w:p>
      <w:pPr>
        <w:pStyle w:val="Heading2"/>
      </w:pPr>
      <w:r>
        <w:t xml:space="preserve">Goal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Boot the BCM2712 in AArch64 EL1, initialize UART via RP1, print to a serial console. This is the foundation everything else builds on.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Cargo workspace with a no_std, no_main binary crate (kernel) and a shared crate (arch) for platform abstractions.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Linker script placing kernel at 0x80000 (RPi firmware load address), defining .text, .rodata, .data, .bss, and stack sections.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Assembly entry point (_start) in AArch64: parks secondary cores in WFE loops, zeroes .bss, sets SP, branches to a Rust kmain().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Minimal RP1 UART driver (UART0 at the RP1 peripheral window 0x1F_0000_0000 + offset) using MMIO volatile writes. Leverages uart_early_init=1 in config.txt so firmware pre-initializes the PCIe link and UART baud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kprint!() / kprintln!() macro backed by core::fmt::Write for formatted output.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panic_handler that prints the panic message and location, then enters an infinite WFE loop.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pipeline: cargo + aarch64-none-elf target, objcopy to produce kernel8.img, deploy to SD card.</w:t>
      </w:r>
    </w:p>
    <w:p>
      <w:pPr>
        <w:pStyle w:val="Heading2"/>
      </w:pPr>
      <w:r>
        <w:t xml:space="preserve">Portability Considerations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Isolate all BCM2712/RP1 specifics behind a UartDriver trait and a board module. Future ports supply their own implementation (e.g., PL011 for QEMU virt, or USART for STM32).</w:t>
      </w:r>
    </w:p>
    <w:p>
      <w:pPr>
        <w:pStyle w:val="Heading2"/>
      </w:pPr>
      <w:r>
        <w:t xml:space="preserve">Verification &amp; Testing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Manual: boot on real hardware or QEMU -M raspi4b (closest available), confirm "tiny-os booting…" on serial. Automated: host-side unit tests for kprint formatting logic.</w:t>
      </w:r>
    </w:p>
    <w:p>
      <w:pPr>
        <w:pStyle w:val="Heading2"/>
      </w:pPr>
      <w: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RP1 PCIe link not preserved — mitigated by pciex4_reset=0 and uart_early_init=1.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QEMU does not yet model BCM2712 — use raspi4b machine or run on real hardware.</w:t>
      </w:r>
    </w:p>
    <w:p>
      <w:r>
        <w:br w:type="page"/>
      </w:r>
    </w:p>
    <w:p>
      <w:pPr>
        <w:pStyle w:val="Heading1"/>
      </w:pPr>
      <w:r>
        <w:t xml:space="preserve">Phase 2: Exception Vectors, GIC-400 &amp; Timer IRQ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"The kernel can respond to interrupts"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2–3 weeks</w:t>
      </w:r>
    </w:p>
    <w:p>
      <w:pPr>
        <w:pStyle w:val="Heading2"/>
      </w:pPr>
      <w:r>
        <w:t xml:space="preserve">Goal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Install EL1 exception vectors, bring up the GIC-400 interrupt controller, and route the ARM Generic Timer to produce a periodic tick — the heartbeat for the future scheduler.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Exception vector table (VBAR_EL1) with 16 entries aligned to 2 KB. Dispatches Synchronous, IRQ, FIQ, and SError to Rust handlers. Saves/restores all general-purpose registers + SPSR_EL1/ELR_EL1 in a TrapFrame struct.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GIC-400 distributor + CPU interface driver: enable distributor, set priority mask, configure individual interrupt IDs (SPIs for timer, UART RX, RP1 MSIs later).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ARM Generic Timer driver: configure CNTP_CTL_EL0 / CNTP_TVAL_EL0 to fire at a configurable tick rate (default 1 kHz). The IRQ handler acknowledges the GIC, reloads the timer, and increments a global tick counter.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monotonic clock API: os_tick_count() → u64, os_uptime_ms() → u64.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Early kernel shell over UART: a trivial command loop ("help", "uptime", "reboot") to exercise both UART RX interrupts and the tick counter interactively.</w:t>
      </w:r>
    </w:p>
    <w:p>
      <w:pPr>
        <w:pStyle w:val="Heading2"/>
      </w:pPr>
      <w:r>
        <w:t xml:space="preserve">Portability Considerations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Abstract behind an InterruptController trait (init, enable, disable, acknowledge, set_priority) and a Timer trait (init, set_period, acknowledge). The GIC-400 is common across Cortex-A53/A72/A76, so a single implementation covers many SoCs. Cortex-M ports would swap in NVIC + SysTick.</w:t>
      </w:r>
    </w:p>
    <w:p>
      <w:pPr>
        <w:pStyle w:val="Heading2"/>
      </w:pPr>
      <w:r>
        <w:t xml:space="preserve">Verification &amp; Testing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Assert tick counter advances. Shell "uptime" matches wall-clock time ±5%. Verify a deliberately triggered Synchronous exception (SVC) is caught and reported rather than hanging.</w:t>
      </w:r>
    </w:p>
    <w:p>
      <w:pPr>
        <w:pStyle w:val="Heading2"/>
      </w:pPr>
      <w: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GIC register offsets differ between GIC-400 and GICv3 — the BCM2712 uses GIC-400; abstract enough to swap later.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Timer frequency depends on CNTFRQ_EL0 — read it at init rather than hard-coding.</w:t>
      </w:r>
    </w:p>
    <w:p>
      <w:r>
        <w:br w:type="page"/>
      </w:r>
    </w:p>
    <w:p>
      <w:pPr>
        <w:pStyle w:val="Heading1"/>
      </w:pPr>
      <w:r>
        <w:t xml:space="preserve">Phase 3: Memory Management — Page Allocator &amp; MMU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"Virtual memory and safe allocation"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3–4 weeks</w:t>
      </w:r>
    </w:p>
    <w:p>
      <w:pPr>
        <w:pStyle w:val="Heading2"/>
      </w:pPr>
      <w:r>
        <w:t xml:space="preserve">Goal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Bring up the AArch64 MMU with identity-mapped kernel pages and a physical page frame allocator, so the kernel operates in a controlled virtual address space.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Physical memory map discovery: parse the DTB (device tree blob) passed by the RPi firmware at boot to find DRAM regions. Fallback: hard-coded map for known board revisions (1/2/4/8/16 GB).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Bitmap page frame allocator: manages 4 KB pages, backed by a static array in .bss. Provides alloc_page() → PhysAddr and free_page(PhysAddr). O(1) via free-list head or CLZ bitmap scan.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AArch64 MMU initialization: build a 4-level (or 3-level with 2 MB blocks) translation table. Identity-map the kernel image (RX for .text, RO for .rodata, RW for .data/.bss/.stack). Device-map MMIO regions (GIC, RP1 peripheral window) with nGnRnE attributes.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simple kernel heap: bump allocator or linked-list allocator implementing GlobalAlloc, enabling alloc::Box, alloc::Vec, etc. in the kernel.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 pages at stack boundaries (unmapped pages that trigger a Data Abort on overflow).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protection attributes: kernel pages marked PXN where appropriate; device pages marked as non-cacheable, non-executable.</w:t>
      </w:r>
    </w:p>
    <w:p>
      <w:pPr>
        <w:pStyle w:val="Heading2"/>
      </w:pPr>
      <w:r>
        <w:t xml:space="preserve">Portability Considerations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PageAllocator and AddressSpace traits. The MMU setup is inherently architecture-specific (translation table format, TCR_EL1, MAIR_EL1, SCTLR_EL1 bits), so wrap it in an arch::mmu module. Other ARM cores share the same AArch64 translation format but may differ in cache policies and shareability domains.</w:t>
      </w:r>
    </w:p>
    <w:p>
      <w:pPr>
        <w:pStyle w:val="Heading2"/>
      </w:pPr>
      <w:r>
        <w:t xml:space="preserve">Verification &amp; Testing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Allocate and free 1000 pages — verify no leaks (free count returns to original). Access a guard page — verify Data Abort is caught. Toggle a mapping to read-only — verify write fault fires. Run on both real hardware and QEMU.</w:t>
      </w:r>
    </w:p>
    <w:p>
      <w:pPr>
        <w:pStyle w:val="Heading2"/>
      </w:pPr>
      <w: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Translation table alignment requirements are strict (4 KB-aligned pages for each table level) — enforce with #[repr(align(4096))].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 coherency issues if MMU is enabled before caches are cleaned — follow the ARM Architecture Reference Manual enable sequence precisely.</w:t>
      </w:r>
    </w:p>
    <w:p>
      <w:r>
        <w:br w:type="page"/>
      </w:r>
    </w:p>
    <w:p>
      <w:pPr>
        <w:pStyle w:val="Heading1"/>
      </w:pPr>
      <w:r>
        <w:t xml:space="preserve">Phase 4: Task Model &amp; Preemptive Scheduler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"Multi-tasking with real-time priorities"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3–4 weeks</w:t>
      </w:r>
    </w:p>
    <w:p>
      <w:pPr>
        <w:pStyle w:val="Heading2"/>
      </w:pPr>
      <w:r>
        <w:t xml:space="preserve">Goal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Implement the tiny-os task model and the fixed-priority preemptive scheduler from the scheduler specification. Multiple tasks timeshare the CPU with deterministic dispatch.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Control Block (TCB): task ID, priority (0–255), state (Ready/Running/Blocked/Suspended/Dormant), saved CPU context (all GP registers, SP, PC, SPSR, TPIDR_EL0), stack pointer, stack base/size, timing stats.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creation API: os_task_create(entry_fn, priority, stack_size, name) → TaskId. Each task gets its own kernel stack allocated from the page allocator.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 switch routine in assembly: saves current task's registers to its TCB, loads the next task's registers, issues ISB, returns via ERET. Measured and validated for deterministic latency.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256-level priority bitmap scheduler: one bit per priority level, CLZ to find highest-priority ready task in O(1). Round-robin among equal-priority tasks via per-level FIFO queues.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Preemption on every timer tick: the tick ISR invokes the scheduler; if a higher-priority task is now ready, a context switch occurs before returning from the IRQ.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Idle task: lowest-priority task that executes WFI, yielding until the next interrupt.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os_task_yield(), os_task_suspend(TaskId), os_task_resume(TaskId), os_task_sleep(ticks) APIs.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sections: os_enter_critical() / os_exit_critical() using DAIF masking with nesting count.</w:t>
      </w:r>
    </w:p>
    <w:p>
      <w:pPr>
        <w:pStyle w:val="Heading2"/>
      </w:pPr>
      <w:r>
        <w:t xml:space="preserve">Portability Considerations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TCB and scheduler are architecture-agnostic (pure Rust). Only the context switch and critical-section primitives live in arch::context. Define a Context trait with save() / restore() / switch_to() so each architecture provides its own assembly stub.</w:t>
      </w:r>
    </w:p>
    <w:p>
      <w:pPr>
        <w:pStyle w:val="Heading2"/>
      </w:pPr>
      <w:r>
        <w:t xml:space="preserve">Verification &amp; Testing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Spawn three tasks at different priorities — verify execution order. Suspend/resume a task — verify it stops/restarts. Measure context switch time with the cycle counter (PMCCNTR_EL0) — assert &lt; 1 µs on BCM2712. Stress-test with 32 tasks for 10 million ticks — no hangs or stack corruption.</w:t>
      </w:r>
    </w:p>
    <w:p>
      <w:pPr>
        <w:pStyle w:val="Heading2"/>
      </w:pPr>
      <w: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Stack overflow in tasks — mitigated by guard pages from Phase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Priority inversion — addressed in Phase 5.</w:t>
      </w:r>
    </w:p>
    <w:p>
      <w:r>
        <w:br w:type="page"/>
      </w:r>
    </w:p>
    <w:p>
      <w:pPr>
        <w:pStyle w:val="Heading1"/>
      </w:pPr>
      <w:r>
        <w:t xml:space="preserve">Phase 5: Synchronization Primitives &amp; IPC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"Safe concurrency between tasks"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2–3 weeks</w:t>
      </w:r>
    </w:p>
    <w:p>
      <w:pPr>
        <w:pStyle w:val="Heading2"/>
      </w:pPr>
      <w:r>
        <w:t xml:space="preserve">Goal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Provide mutexes, semaphores, message queues, and event flags so tasks can synchronize and communicate safely, with priority inversion protection.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Binary and counting semaphores: os_sem_create(initial_count, max_count), os_sem_wait(timeout), os_sem_signal(). Wait queue ordered by priority.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Mutex with Priority Inheritance Protocol (PIP): when a high-priority task blocks on a mutex held by a low-priority task, the holder's effective priority is temporarily boosted. Configurable per-mutex to use PIP or Priority Ceiling Protocol (PCP).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 queues: os_mq_create(msg_size, capacity), os_mq_send(msg, timeout), os_mq_recv(buf, timeout). Fixed-size messages in a ring buffer. Send/receive can block with timeout.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flag groups: os_event_set(flags), os_event_wait(flags, AND|OR, timeout). Tasks block until a combination of flags is 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Timeout support on all blocking primitives: OS_WAIT_FOREVER, OS_NO_WAIT, or tick count. Timed-out waits return Err(Timeout).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Deadlock detection (optional/debug mode): cycle detection in the wait-for graph, logged via kprintln!().</w:t>
      </w:r>
    </w:p>
    <w:p>
      <w:pPr>
        <w:pStyle w:val="Heading2"/>
      </w:pPr>
      <w:r>
        <w:t xml:space="preserve">Portability Considerations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All synchronization code is architecture-agnostic (uses critical sections from Phase 4). The only arch dependency is the atomic instruction set (LDXR/STXR on AArch64), wrapped in an arch::atomic module.</w:t>
      </w:r>
    </w:p>
    <w:p>
      <w:pPr>
        <w:pStyle w:val="Heading2"/>
      </w:pPr>
      <w:r>
        <w:t xml:space="preserve">Verification &amp; Testing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Classic producer/consumer with message queue — verify no lost messages. Priority inversion test: low-priority task holds mutex, high-priority task blocks, medium-priority task does not run ahead of the boosted low-priority task. Timeout test: wait with 100-tick timeout returns Err after ~100 ms.</w:t>
      </w:r>
    </w:p>
    <w:p>
      <w:pPr>
        <w:pStyle w:val="Heading2"/>
      </w:pPr>
      <w: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 with nested mutex acquisition — implement recursive priority tracking.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 queue memory — allocate from the kernel heap; consider static allocation for safety-critical configs.</w:t>
      </w:r>
    </w:p>
    <w:p>
      <w:r>
        <w:br w:type="page"/>
      </w:r>
    </w:p>
    <w:p>
      <w:pPr>
        <w:pStyle w:val="Heading1"/>
      </w:pPr>
      <w:r>
        <w:t xml:space="preserve">Phase 6: Device Driver Framework &amp; Core Drivers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"Talking to hardware beyond UART"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3–4 weeks</w:t>
      </w:r>
    </w:p>
    <w:p>
      <w:pPr>
        <w:pStyle w:val="Heading2"/>
      </w:pPr>
      <w:r>
        <w:t xml:space="preserve">Goal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Establish a lightweight driver registration model and implement drivers for essential peripherals: GPIO, SPI, I²C, and a kernel logging subsystem.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Driver trait hierarchy: a base Driver trait (init, probe, name, status) with specialized sub-traits (GpioDriver, SpiDriver, I2cDriver, BlockDriver). Drivers register at boot via a static driver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RP1 GPIO driver: 28 GPIO pins accessible through the RP1 peripheral window. Pin configuration (input, output, alt functions), pull-up/pull-down, interrupt on edge/level.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RP1 I²C driver: master mode, configurable clock speed (100/400 kHz), blocking and interrupt-driven transfers. Useful for sensors, RTCs, EEPROMs.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RP1 SPI driver: master mode, configurable clock, chip-select management, DMA-ready interface (DMA itself is Phase 8).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Kernel logging subsystem (klog): severity levels (Error, Warn, Info, Debug, Trace), compile-time and runtime filtering, ring buffer for deferred output, timestamps from the monotonic clock.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Device tree parsing (minimal): extract peripheral addresses and interrupt numbers from the DTB so drivers don't hard-code addresses.</w:t>
      </w:r>
    </w:p>
    <w:p>
      <w:pPr>
        <w:pStyle w:val="Heading2"/>
      </w:pPr>
      <w:r>
        <w:t xml:space="preserve">Portability Considerations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All drivers implement hardware-agnostic traits. Board support packages (BSPs) wire specific drivers to the trait interfaces. A new port implements a BSP module that maps its peripherals to the driver traits. The device tree parser is architecture-independent.</w:t>
      </w:r>
    </w:p>
    <w:p>
      <w:pPr>
        <w:pStyle w:val="Heading2"/>
      </w:pPr>
      <w:r>
        <w:t xml:space="preserve">Verification &amp; Testing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GPIO loopback: set output pin high, read on connected input pin. I²C: scan bus, detect known device at expected address. SPI: loopback MOSI→MISO. klog: verify ring buffer wraps correctly and no messages lost under high throughput.</w:t>
      </w:r>
    </w:p>
    <w:p>
      <w:pPr>
        <w:pStyle w:val="Heading2"/>
      </w:pPr>
      <w: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RP1 peripheral register documentation is limited — rely on the Linux kernel's RP1 driver source as 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 contention if Linux is also running — tiny-os is bare-metal, so this is not an issue, but document for dual-OS scenarios.</w:t>
      </w:r>
    </w:p>
    <w:p>
      <w:r>
        <w:br w:type="page"/>
      </w:r>
    </w:p>
    <w:p>
      <w:pPr>
        <w:pStyle w:val="Heading1"/>
      </w:pPr>
      <w:r>
        <w:t xml:space="preserve">Phase 7: SMP — Multi-Core Scheduling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"Wake the other three Cortex-A76 cores"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3–4 weeks</w:t>
      </w:r>
    </w:p>
    <w:p>
      <w:pPr>
        <w:pStyle w:val="Heading2"/>
      </w:pPr>
      <w:r>
        <w:t xml:space="preserve">Goal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Bring secondary cores online and extend the scheduler to distribute tasks across all four Cortex-A76 cores with per-core run queues and cross-core migration.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Secondary core startup: release cores 1–3 from their WFE loops via PSCI (Power State Coordination Interface) or the spin-table method used by the RPi firmware. Each core initializes its own exception vectors, GIC CPU interface, and timer.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Per-core run queues: each core has its own priority bitmap and ready queues. The scheduler runs independently on each core, picking from its local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affinity: os_task_set_affinity(TaskId, core_mask). Tasks can be pinned to a specific core or allowed to migrate.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balancer: a periodic routine (running every N ticks) checks per-core load and migrates ready tasks from overloaded to underloaded cores. Migration respects affinity masks and requires cross-core IPIs (Inter-Processor Interrupts via GIC SGIs).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SMP-safe synchronization: upgrade critical sections from DAIF masking to spin-locks (ticket locks or MCS locks) for cross-core mutual exclusion. Existing mutexes and semaphores gain spin-lock-guarded wait queues.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Per-core idle tasks and per-core tick counters.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os_smp_core_count() → usize, os_smp_current_core() → CoreId APIs.</w:t>
      </w:r>
    </w:p>
    <w:p>
      <w:pPr>
        <w:pStyle w:val="Heading2"/>
      </w:pPr>
      <w:r>
        <w:t xml:space="preserve">Portability Considerations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Core startup is highly platform-specific (PSCI vs. spin-table vs. direct register poke). Abstract behind an SmpBoot trait. Spin-locks and IPIs are architecture-specific (WFE/SEV on ARM, PAUSE on x86). The load balancer and per-core queue logic are portable Rust.</w:t>
      </w:r>
    </w:p>
    <w:p>
      <w:pPr>
        <w:pStyle w:val="Heading2"/>
      </w:pPr>
      <w:r>
        <w:t xml:space="preserve">Verification &amp; Testing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Boot all 4 cores — verify each prints its core ID. Run 8 tasks across 4 cores — verify parallel execution (wall-clock time &lt; serial time). Pin a task to core 2 — verify it never runs on another core. Stress test: 32 tasks, random sleeps, run for 10M ticks — no deadlocks or corruption.</w:t>
      </w:r>
    </w:p>
    <w:p>
      <w:pPr>
        <w:pStyle w:val="Heading2"/>
      </w:pPr>
      <w: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 coherency between cores — the BCM2712 Cortex-A76 cluster is fully coherent, but verify with memory barriers at context switch boundaries.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Thundering herd on cross-core wakeups — use targeted SGIs rather than broadcast.</w:t>
      </w:r>
    </w:p>
    <w:p>
      <w:r>
        <w:br w:type="page"/>
      </w:r>
    </w:p>
    <w:p>
      <w:pPr>
        <w:pStyle w:val="Heading1"/>
      </w:pPr>
      <w:r>
        <w:t xml:space="preserve">Phase 8: DMA Engine &amp; Block Storage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"High-throughput data movement and persistent storage"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3–4 weeks</w:t>
      </w:r>
    </w:p>
    <w:p>
      <w:pPr>
        <w:pStyle w:val="Heading2"/>
      </w:pPr>
      <w:r>
        <w:t xml:space="preserve">Goal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Implement DMA for zero-copy peripheral transfers and bring up SD/MMC and (optionally) NVMe block device access for persistent storage.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DMA controller driver: the BCM2712 DMA engine with scatter-gather support. Provides dma_transfer(src, dst, len, callback) with completion via interrupt. Allocate DMA-safe buffers from a non-cacheable memory pool.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SD/MMC host controller driver (EMMC2): initialize the SD card, send CMD0/CMD8/ACMD41/CMD2/CMD3 initialization sequence, read/write 512-byte sectors. Supports both polling and DMA modes.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device abstraction: a BlockDevice trait with read_blocks(lba, count, buf) and write_blocks(lba, count, buf). The SD driver implements this trait.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 NVMe driver stub: if targeting the Pi 500/CM5 with M.2, a minimal NVMe driver over PCIe (Phase 10 dependency). Can be deferred.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DMA-aware SPI and I²C: upgrade Phase 6 drivers to use DMA for large transfers, falling back to PIO for small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 partition table parser: read MBR or GPT to locate partitions.</w:t>
      </w:r>
    </w:p>
    <w:p>
      <w:pPr>
        <w:pStyle w:val="Heading2"/>
      </w:pPr>
      <w:r>
        <w:t xml:space="preserve">Portability Considerations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BlockDevice trait is fully portable. DMA engines vary wildly across SoCs — wrap in a DmaEngine trait with platform-specific implementations. SD/MMC protocol is standard but host controller registers differ; split into protocol logic (portable) and host driver (platform-specific).</w:t>
      </w:r>
    </w:p>
    <w:p>
      <w:pPr>
        <w:pStyle w:val="Heading2"/>
      </w:pPr>
      <w:r>
        <w:t xml:space="preserve">Verification &amp; Testing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DMA memcpy: copy 1 MB, verify contents match. SD: read sector 0 (MBR), verify 0x55AA signature. Write a test sector, read it back, compare. Throughput benchmark: sequential read MB/s should approach hardware limits.</w:t>
      </w:r>
    </w:p>
    <w:p>
      <w:pPr>
        <w:pStyle w:val="Heading2"/>
      </w:pPr>
      <w: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 card initialization is notoriously finicky — implement robust retry and timeout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DMA buffer alignment requirements — enforce at the allocator level.</w:t>
      </w:r>
    </w:p>
    <w:p>
      <w:r>
        <w:br w:type="page"/>
      </w:r>
    </w:p>
    <w:p>
      <w:pPr>
        <w:pStyle w:val="Heading1"/>
      </w:pPr>
      <w:r>
        <w:t xml:space="preserve">Phase 9: Filesystem &amp; Shell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"Read files, run scripts, log to disk"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3–4 weeks</w:t>
      </w:r>
    </w:p>
    <w:p>
      <w:pPr>
        <w:pStyle w:val="Heading2"/>
      </w:pPr>
      <w:r>
        <w:t xml:space="preserve">Goal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Implement a FAT32 filesystem (for SD card compatibility) and a richer interactive shell with command history, scripting, and persistent logging.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FAT32 filesystem driver: mount, open, read, write, seek, close, mkdir, readdir, stat, unlink. Handles long filenames (LFN). Operates on top of the BlockDevice trait from Phase 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Virtual Filesystem (VFS) layer: a unified namespace that can mount multiple filesystems. Provides open/read/write/close with file descriptors. Initial backends: FAT32, and a devfs for /dev/uart0, /dev/null, /dev/random.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Enhanced shell: command history (up/down arrows via ANSI escape parsing), tab completion for filenames, I/O redirection (&gt; and &lt;), built-in commands: ls, cat, hexdump, cp, rm, mkdir, mount, umount, free, ps, top, reboot, 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Persistent kernel log: klog writes to /var/log/kernel.log on the FAT32 partition, with rotation when the file exceeds a configurable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Boot-time script: if /etc/init.sh exists, the shell executes it line-by-line at startup for automated configuration.</w:t>
      </w:r>
    </w:p>
    <w:p>
      <w:pPr>
        <w:pStyle w:val="Heading2"/>
      </w:pPr>
      <w:r>
        <w:t xml:space="preserve">Portability Considerations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VFS and shell are entirely platform-agnostic. FAT32 is platform-agnostic (operates on BlockDevice). Only the underlying block driver is platform-specific.</w:t>
      </w:r>
    </w:p>
    <w:p>
      <w:pPr>
        <w:pStyle w:val="Heading2"/>
      </w:pPr>
      <w:r>
        <w:t xml:space="preserve">Verification &amp; Testing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Create a file, write known data, unmount, remount, read back — verify integrity. Fill the filesystem to capacity — verify graceful error. Shell: run a scripted test via init.sh that creates files and checks output. FAT32 interop: mount the SD card on a Linux host and verify files created by tiny-os are readable.</w:t>
      </w:r>
    </w:p>
    <w:p>
      <w:pPr>
        <w:pStyle w:val="Heading2"/>
      </w:pPr>
      <w: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FAT32 corruption on power loss — implement write ordering discipline (metadata after data) and consider a journal or WAL for critical writes.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Long filename support adds complexity — consider starting with 8.3 filenames and adding LFN as an enhancement.</w:t>
      </w:r>
    </w:p>
    <w:p>
      <w:r>
        <w:br w:type="page"/>
      </w:r>
    </w:p>
    <w:p>
      <w:pPr>
        <w:pStyle w:val="Heading1"/>
      </w:pPr>
      <w:r>
        <w:t xml:space="preserve">Phase 10: Networking (Ethernet/WiFi) &amp; User-Space Foundation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"Connect to the outside world and prepare for user tasks"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duration: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4–6 weeks</w:t>
      </w:r>
    </w:p>
    <w:p>
      <w:pPr>
        <w:pStyle w:val="Heading2"/>
      </w:pPr>
      <w:r>
        <w:t xml:space="preserve">Goal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Bring up networking (Ethernet via RP1's MAC, optionally WiFi) with a TCP/IP stack, and lay the groundwork for memory-isolated user-space tasks using EL0.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RP1 Ethernet MAC driver: initialize the RP1's gigabit Ethernet controller, link detection, DMA-based packet TX/RX. Implements a NetDevice trait.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Lightweight TCP/IP stack: either a from-scratch minimal stack or integrate smoltcp (a Rust no_std TCP/IP library). Supports ARP, IPv4, ICMP (ping), UDP, TCP, and DHCP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Socket API: os_socket_create(), os_socket_bind(), os_socket_listen(), os_socket_accept(), os_socket_connect(), os_socket_send(), os_socket_recv(). Blocking with timeout.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Telnet server: remote shell access over TCP — connects to the Phase 9 shell.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User-space task support (EL0): tasks run in EL0 with their own virtual address space (isolated page tables). System calls via SVC trap to EL1. Initial syscalls: write, read, exit, yield, sleep, getpid.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ELF loader: load a statically linked AArch64 ELF binary from the filesystem into a user-space address space and begin execution.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MPU/MMU isolation: user tasks cannot access kernel memory or other tasks' memory. Faults in user tasks are caught and the task is killed, not the whole system.</w:t>
      </w:r>
    </w:p>
    <w:p>
      <w:pPr>
        <w:pStyle w:val="Heading2"/>
      </w:pPr>
      <w:r>
        <w:t xml:space="preserve">Portability Considerations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smoltcp is already portable Rust. The NetDevice trait abstracts the NIC. User-space isolation requires architecture-specific page table and exception level management (EL0/EL1 on ARM, Ring 3/0 on x86). Define a UserContext trait for each architecture.</w:t>
      </w:r>
    </w:p>
    <w:p>
      <w:pPr>
        <w:pStyle w:val="Heading2"/>
      </w:pPr>
      <w:r>
        <w:t xml:space="preserve">Verification &amp; Testing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Ping test: assign IP via DHCP, ping from a host — verify replies. TCP echo server: connect from host, send data, verify echo. User-space: load a "hello world" ELF, verify it prints via syscall and exits cleanly. Fault isolation: user task dereferences NULL — verify it is killed without kernel panic.</w:t>
      </w:r>
    </w:p>
    <w:p>
      <w:pPr>
        <w:pStyle w:val="Heading2"/>
      </w:pPr>
      <w: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RP1 Ethernet MAC documentation is sparse — use Linux kernel driver as 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TCP/IP stack complexity — smoltcp is well-tested and avoids reinventing the wheel.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User-space adds significant complexity to the memory management and exception handling — expect this to be the longest phase.</w:t>
      </w:r>
    </w:p>
    <w:p>
      <w:r>
        <w:br w:type="page"/>
      </w:r>
    </w:p>
    <w:p>
      <w:pPr>
        <w:pStyle w:val="Heading1"/>
      </w:pPr>
      <w:r>
        <w:t xml:space="preserve">Appendix A: Portability Trait Summary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following table summarizes the key Rust traits that form the Hardware Abstraction Layer (HAL). A port to a new ARM core or board requires implementing these traits — the rest of the kernel, scheduler, synchronization, filesystem, and networking code compiles unchanged.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Introduced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UartDriver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arch::uart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init(), write_byte(), read_byte(), write_str()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InterruptController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arch::irq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init(), enable(id), disable(id), acknowledge() → IrqId, set_priority(id, pri)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Timer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arch::timer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init(freq), set_period(ticks), acknowledge(), read_counter() → u64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PageAllocator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mm::alloc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alloc_page() → PhysAddr, free_page(PhysAddr), available() → usize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AddressSpace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arch::mmu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new(), map(virt, phys, flags), unmap(virt), activate()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arch::context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new(entry, stack_top) → Self, switch_to(&amp;mut self, &amp;Self)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SmpBoot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arch::smp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core_count() → usize, start_core(id, entry) → Result, current_core() → CoreId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DmaEngine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arch::dma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transfer(src, dst, len, cb) → DmaHandle, abort(handle)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BlockDevice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drivers::block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read_blocks(lba, count, buf), write_blocks(lba, count, buf), block_size() → usize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NetDevice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drivers::net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init(), send(packet), recv() → Option&lt;Packet&gt;, mac_address() → [u8;6]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UserContext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arch::user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new(elf_entry, user_stack) → Self, enter(), handle_syscall(trap_frame)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Appendix B: Suggested Cargo Workspace Layout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workspace separates architecture-specific code from portable kernel logic, making it straightforward to add new port targets.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tiny-os/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Cargo.toml                  # Workspace root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kernel/                     # Main kernel binary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Cargo.toml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main.rs             # kmain() entry point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sched/              # Scheduler, task model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sync/               # Mutex, semaphore, MQ, events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mm/                 # Page allocator, heap, VMM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fs/                 # VFS, FAT32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net/                # TCP/IP, sockets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drivers/            # Driver traits + registry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shell/              # Interactive shell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klog/               # Kernel logging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link.ld                 # Linker script (per-target)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arch/                       # Architecture crate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Cargo.toml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src/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lib.rs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aarch64/            # AArch64-specific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boot.S          # _start, vector table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context.rs      # Context switch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mmu.rs          # Translation tables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gic.rs          # GIC-400 driver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timer.rs        # Generic Timer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smp.rs          # Multi-core startup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cortex_m/           # Future: Cortex-M port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bsp/                        # Board Support Packages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Cargo.toml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src/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rpi5/               # Raspberry Pi 5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mod.rs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rp1_uart.rs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rp1_gpio.rs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rp1_eth.rs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emmc2.rs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memory_map.rs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qemu_virt/          # QEMU virt machine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tools/                      # Host-side utilities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mkimg.sh                # Build kernel8.img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deploy.sh               # Flash to SD card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Courier New" w:cs="Courier New" w:eastAsia="Courier New" w:hAnsi="Courier New"/>
        <w:b/>
        <w:bCs/>
        <w:color w:val="1B3A5C"/>
        <w:sz w:val="18"/>
        <w:szCs w:val="18"/>
      </w:rPr>
      <w:t xml:space="preserve">tiny-os </w:t>
    </w:r>
    <w:r>
      <w:rPr>
        <w:rFonts w:ascii="Arial" w:cs="Arial" w:eastAsia="Arial" w:hAnsi="Arial"/>
        <w:color w:val="666666"/>
        <w:sz w:val="18"/>
        <w:szCs w:val="18"/>
      </w:rPr>
      <w:t xml:space="preserve">Implementation Phases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2026-03-03T03:34:54.652Z</dcterms:created>
  <dcterms:modified xsi:type="dcterms:W3CDTF">2026-03-03T03:34:54.653Z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