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信贷网络完备场景扫描与-soc-相图报告-v1"/>
    <w:p>
      <w:pPr>
        <w:pStyle w:val="Heading1"/>
        <w:ind w:left="0" w:right="0" w:firstLine="0"/>
      </w:pPr>
      <w:r>
        <w:t xml:space="preserve">信贷网络完备场景扫描与 SOC 相图报告 v1</w:t>
      </w:r>
    </w:p>
    <w:p>
      <w:pPr>
        <w:pStyle w:val="FirstParagraph"/>
      </w:pPr>
      <w:r>
        <w:t xml:space="preserve">生成时间：2026-06-08 23:21:32 CST</w:t>
      </w:r>
    </w:p>
    <w:bookmarkStart w:id="23" w:name="扫描范围"/>
    <w:p>
      <w:pPr>
        <w:pStyle w:val="Heading2"/>
        <w:ind w:left="0" w:right="0" w:firstLine="0"/>
      </w:pPr>
      <w:r>
        <w:t xml:space="preserve">1. 扫描范围</w:t>
      </w:r>
    </w:p>
    <w:p>
      <w:pPr>
        <w:numPr>
          <w:ilvl w:val="0"/>
          <w:numId w:val="1001"/>
        </w:numPr>
        <w:pStyle w:val="Compact"/>
      </w:pPr>
      <w:r>
        <w:t xml:space="preserve">原始扫描目录：</w:t>
      </w:r>
      <w:r>
        <w:rPr>
          <w:rStyle w:val="VerbatimChar"/>
        </w:rPr>
        <w:t xml:space="preserve">results/credit_soc_comprehensive_scan_20260608_v1</w:t>
      </w:r>
    </w:p>
    <w:p>
      <w:pPr>
        <w:numPr>
          <w:ilvl w:val="0"/>
          <w:numId w:val="1001"/>
        </w:numPr>
        <w:pStyle w:val="Compact"/>
      </w:pPr>
      <w:r>
        <w:t xml:space="preserve">分析目录：</w:t>
      </w:r>
      <w:r>
        <w:rPr>
          <w:rStyle w:val="VerbatimChar"/>
        </w:rPr>
        <w:t xml:space="preserve">results/credit_soc_comprehensive_scan_analysis_20260608_v1</w:t>
      </w:r>
    </w:p>
    <w:p>
      <w:pPr>
        <w:numPr>
          <w:ilvl w:val="0"/>
          <w:numId w:val="1001"/>
        </w:numPr>
        <w:pStyle w:val="Compact"/>
      </w:pPr>
      <w:r>
        <w:t xml:space="preserve">run 数：24000</w:t>
      </w:r>
    </w:p>
    <w:p>
      <w:pPr>
        <w:numPr>
          <w:ilvl w:val="0"/>
          <w:numId w:val="1001"/>
        </w:numPr>
        <w:pStyle w:val="Compact"/>
      </w:pPr>
      <w:r>
        <w:t xml:space="preserve">avalanche 事件数：1915216</w:t>
      </w:r>
    </w:p>
    <w:p>
      <w:pPr>
        <w:numPr>
          <w:ilvl w:val="0"/>
          <w:numId w:val="1001"/>
        </w:numPr>
        <w:pStyle w:val="Compact"/>
      </w:pPr>
      <w:r>
        <w:t xml:space="preserve">scenario 数：8000</w:t>
      </w:r>
    </w:p>
    <w:p>
      <w:pPr>
        <w:numPr>
          <w:ilvl w:val="0"/>
          <w:numId w:val="1001"/>
        </w:numPr>
        <w:pStyle w:val="Compact"/>
      </w:pPr>
      <w:r>
        <w:t xml:space="preserve">scenario base 数：1000</w:t>
      </w:r>
    </w:p>
    <w:p>
      <w:pPr>
        <w:pStyle w:val="FirstParagraph"/>
      </w:pPr>
      <w:r>
        <w:t xml:space="preserve">本轮扫描覆盖本金初始化、收入分配、增长规则、支出参数、显式拓扑结构和</w:t>
      </w:r>
      <w:r>
        <w:t xml:space="preserve"> </w:t>
      </w:r>
      <w:r>
        <w:rPr>
          <w:rStyle w:val="VerbatimChar"/>
        </w:rPr>
        <w:t xml:space="preserve">c=0.10..0.80</w:t>
      </w:r>
      <w:r>
        <w:t xml:space="preserve">。这是全因子筛选，用于形成相图和挑选 SOC 候选；严格 SOC 推断仍需有限尺寸和平稳性复核。</w:t>
      </w:r>
    </w:p>
    <w:bookmarkStart w:id="20" w:name="扫描轴与固定参数基线"/>
    <w:p>
      <w:pPr>
        <w:pStyle w:val="Heading3"/>
        <w:ind w:left="0" w:right="0" w:firstLine="0"/>
      </w:pPr>
      <w:r>
        <w:t xml:space="preserve">扫描轴与固定参数基线</w:t>
      </w:r>
    </w:p>
    <w:p>
      <w:pPr>
        <w:pStyle w:val="FirstParagraph"/>
      </w:pPr>
      <w:r>
        <w:t xml:space="preserve">为避免只看到“扫描参数变化”而忽略共同基线，本轮 8000 个 scenario 的共同实验框架如下。</w:t>
      </w:r>
    </w:p>
    <w:p>
      <w:pPr>
        <w:pStyle w:val="BodyText"/>
      </w:pPr>
      <w:r>
        <w:t xml:space="preserve">扫描轴为：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收入到信贷尝试转换系数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0.10, 0.20, 0.30, 0.40, 0.50, 0.60, 0.70, 0.80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初始本金分布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equal, uniform, normal, lognormal, pareto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收入分配规则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uniform, biased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信贷增长规则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random, preferential_debt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支出机制</w:t>
            </w:r>
            <w:r>
              <w:t xml:space="preserve"> </w:t>
            </w:r>
            <w:r>
              <w:rPr>
                <w:rStyle w:val="VerbatimChar"/>
              </w:rPr>
              <w:t xml:space="preserve">(a,b)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low=(0.01,0.10)</w:t>
            </w:r>
            <w:r>
              <w:t xml:space="preserve">、</w:t>
            </w:r>
            <w:r>
              <w:rPr>
                <w:rStyle w:val="VerbatimChar"/>
              </w:rPr>
              <w:t xml:space="preserve">baseline=(0.02,0.20)</w:t>
            </w:r>
            <w:r>
              <w:t xml:space="preserve">、</w:t>
            </w:r>
            <w:r>
              <w:rPr>
                <w:rStyle w:val="VerbatimChar"/>
              </w:rPr>
              <w:t xml:space="preserve">high_income=(0.02,0.40)</w:t>
            </w:r>
            <w:r>
              <w:t xml:space="preserve">、</w:t>
            </w:r>
            <w:r>
              <w:rPr>
                <w:rStyle w:val="VerbatimChar"/>
              </w:rPr>
              <w:t xml:space="preserve">high_wealth=(0.04,0.20)</w:t>
            </w:r>
            <w:r>
              <w:t xml:space="preserve">、</w:t>
            </w:r>
            <w:r>
              <w:rPr>
                <w:rStyle w:val="VerbatimChar"/>
              </w:rPr>
              <w:t xml:space="preserve">high_both=(0.04,0.40)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交易机会拓扑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</w:t>
            </w:r>
            <w:r>
              <w:t xml:space="preserve">；</w:t>
            </w:r>
            <w:r>
              <w:rPr>
                <w:rStyle w:val="VerbatimChar"/>
              </w:rPr>
              <w:t xml:space="preserve">er/ba/sw</w:t>
            </w:r>
            <w:r>
              <w:t xml:space="preserve"> </w:t>
            </w:r>
            <w:r>
              <w:t xml:space="preserve">的目标平均度</w:t>
            </w:r>
            <w:r>
              <w:t xml:space="preserve"> </w:t>
            </w:r>
            <w:r>
              <w:rPr>
                <w:rStyle w:val="VerbatimChar"/>
              </w:rPr>
              <w:t xml:space="preserve">k=6,12,24</w:t>
            </w:r>
          </w:p>
        </w:tc>
      </w:tr>
    </w:tbl>
    <w:p>
      <w:pPr>
        <w:pStyle w:val="BodyText"/>
      </w:pPr>
      <w:r>
        <w:t xml:space="preserve">除上述扫描轴外，本轮保持以下固定基线：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固定项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本轮取值与含义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N=120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独立重复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scenario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个 seed/run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 run 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最多</w:t>
            </w:r>
            <w:r>
              <w:t xml:space="preserve"> </w:t>
            </w:r>
            <w:r>
              <w:rPr>
                <w:rStyle w:val="VerbatimChar"/>
              </w:rPr>
              <w:t xml:space="preserve">120 periods</w:t>
            </w:r>
            <w:r>
              <w:t xml:space="preserve">；</w:t>
            </w:r>
            <w:r>
              <w:rPr>
                <w:rStyle w:val="VerbatimChar"/>
              </w:rPr>
              <w:t xml:space="preserve">max_time_steps=0</w:t>
            </w:r>
            <w:r>
              <w:t xml:space="preserve"> </w:t>
            </w:r>
            <w:r>
              <w:t xml:space="preserve">表示不额外限制累计 time_step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初始本金规模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mean_initial_money=20.0</w:t>
            </w:r>
            <w:r>
              <w:t xml:space="preserve">；具体样本由本金分布决定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初始参考收入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initial_income_per_capita=5.0</w:t>
            </w:r>
            <w:r>
              <w:t xml:space="preserve">，所以初始</w:t>
            </w:r>
            <w:r>
              <w:t xml:space="preserve"> </w:t>
            </w:r>
            <w:r>
              <w:rPr>
                <w:rStyle w:val="VerbatimChar"/>
              </w:rPr>
              <w:t xml:space="preserve">Y_0=120*5=600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 长度规则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收入内生：</w:t>
            </w:r>
            <w:r>
              <w:rPr>
                <w:rStyle w:val="VerbatimChar"/>
              </w:rPr>
              <w:t xml:space="preserve">K_t=round(c*Y_(t-1))</w:t>
            </w:r>
            <w:r>
              <w:t xml:space="preserve">；固定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参数不参与本轮计算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单位信贷规模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每个成功 credit</w:t>
            </w:r>
            <w:r>
              <w:t xml:space="preserve"> </w:t>
            </w:r>
            <w:r>
              <w:rPr>
                <w:rStyle w:val="VerbatimChar"/>
              </w:rPr>
              <w:t xml:space="preserve">time_step</w:t>
            </w:r>
            <w:r>
              <w:t xml:space="preserve"> </w:t>
            </w:r>
            <w:r>
              <w:t xml:space="preserve">只新增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单位有向信贷暴露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支出顺序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先投资支出，再消费支出；二者都受主体现金约束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违约阈值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default_threshold=0.0</w:t>
            </w:r>
            <w:r>
              <w:t xml:space="preserve">，严格</w:t>
            </w:r>
            <w:r>
              <w:t xml:space="preserve"> </w:t>
            </w:r>
            <w:r>
              <w:rPr>
                <w:rStyle w:val="VerbatimChar"/>
              </w:rPr>
              <w:t xml:space="preserve">W_i&lt;0</w:t>
            </w:r>
            <w:r>
              <w:t xml:space="preserve"> </w:t>
            </w:r>
            <w:r>
              <w:t xml:space="preserve">才违约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大级联标签阈值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collapse_threshold_fraction=0.10</w:t>
            </w:r>
            <w:r>
              <w:t xml:space="preserve">，在</w:t>
            </w:r>
            <w:r>
              <w:t xml:space="preserve"> </w:t>
            </w:r>
            <w:r>
              <w:rPr>
                <w:rStyle w:val="VerbatimChar"/>
              </w:rPr>
              <w:t xml:space="preserve">N=120</w:t>
            </w:r>
            <w:r>
              <w:t xml:space="preserve"> </w:t>
            </w:r>
            <w:r>
              <w:t xml:space="preserve">下等价于至少</w:t>
            </w:r>
            <w:r>
              <w:t xml:space="preserve"> </w:t>
            </w:r>
            <w:r>
              <w:rPr>
                <w:rStyle w:val="VerbatimChar"/>
              </w:rPr>
              <w:t xml:space="preserve">12</w:t>
            </w:r>
            <w:r>
              <w:t xml:space="preserve"> </w:t>
            </w:r>
            <w:r>
              <w:t xml:space="preserve">个节点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清算规则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wipe_defaulted_assets=True</w:t>
            </w:r>
            <w:r>
              <w:t xml:space="preserve">；现金不额外扣除，贷款资产/债务负债表内减记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违约后节点状态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continue_after_avalanche</w:t>
            </w:r>
            <w:r>
              <w:t xml:space="preserve">：清算后节点不永久退出，后续 period 仍可参与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违约检查粒度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period_end</w:t>
            </w:r>
            <w:r>
              <w:t xml:space="preserve">：每个 period 的所有信贷尝试和流量结算结束后统一检查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会计校验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validate_accounting=True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biased 基础权重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income_bias_floor=1.0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 重连概率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sw_rewire_probability=0.10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随机种子基线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主演化</w:t>
            </w:r>
            <w:r>
              <w:t xml:space="preserve"> </w:t>
            </w:r>
            <w:r>
              <w:rPr>
                <w:rStyle w:val="VerbatimChar"/>
              </w:rPr>
              <w:t xml:space="preserve">seed_base=2026060800</w:t>
            </w:r>
            <w:r>
              <w:t xml:space="preserve">，拓扑</w:t>
            </w:r>
            <w:r>
              <w:t xml:space="preserve"> </w:t>
            </w:r>
            <w:r>
              <w:rPr>
                <w:rStyle w:val="VerbatimChar"/>
              </w:rPr>
              <w:t xml:space="preserve">topology_seed_base=2026068800</w:t>
            </w:r>
          </w:p>
        </w:tc>
      </w:tr>
    </w:tbl>
    <w:p>
      <w:pPr>
        <w:pStyle w:val="BodyText"/>
      </w:pPr>
      <w:r>
        <w:t xml:space="preserve">拓扑变量的含义需要单独说明：</w:t>
      </w:r>
      <w:r>
        <w:rPr>
          <w:rStyle w:val="VerbatimChar"/>
        </w:rPr>
        <w:t xml:space="preserve">er/ba/sw</w:t>
      </w:r>
      <w:r>
        <w:t xml:space="preserve"> </w:t>
      </w:r>
      <w:r>
        <w:t xml:space="preserve">并不是在初始化时直接放入一张已有信贷暴露网络。初始化时实际信贷暴露矩阵仍为空；拓扑先生成一张无向“交易机会图”，只规定哪些节点对可以在后续 credit</w:t>
      </w:r>
      <w:r>
        <w:t xml:space="preserve"> </w:t>
      </w:r>
      <w:r>
        <w:rPr>
          <w:rStyle w:val="VerbatimChar"/>
        </w:rPr>
        <w:t xml:space="preserve">time_step</w:t>
      </w:r>
      <w:r>
        <w:t xml:space="preserve"> </w:t>
      </w:r>
      <w:r>
        <w:t xml:space="preserve">中成为贷款人与借款人。实际信贷网络在运行过程中逐步形成，方向由当次贷款人/借款人决定，边权由重复成功借贷累积。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表示没有额外机会边界，任意两主体都可成为候选对手方。</w:t>
      </w:r>
    </w:p>
    <w:bookmarkEnd w:id="20"/>
    <w:bookmarkStart w:id="21" w:name="执行摘要"/>
    <w:p>
      <w:pPr>
        <w:pStyle w:val="Heading3"/>
        <w:ind w:left="0" w:right="0" w:firstLine="0"/>
      </w:pPr>
      <w:r>
        <w:t xml:space="preserve">执行摘要</w:t>
      </w:r>
    </w:p>
    <w:p>
      <w:pPr>
        <w:pStyle w:val="FirstParagraph"/>
      </w:pPr>
      <w:r>
        <w:t xml:space="preserve">本轮扫描给出的主结论是：</w:t>
      </w:r>
      <w:r>
        <w:rPr>
          <w:bCs/>
          <w:b/>
        </w:rPr>
        <w:t xml:space="preserve">级联失效相图存在清楚的过载转变，但 SOC 相图没有出现通过快速证据门槛的区域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</w:t>
      </w:r>
      <w:r>
        <w:t xml:space="preserve"> </w:t>
      </w:r>
      <w:r>
        <w:t xml:space="preserve">是最强的一维控制轴。随</w:t>
      </w:r>
      <w:r>
        <w:t xml:space="preserve"> </w:t>
      </w:r>
      <w:r>
        <w:rPr>
          <w:rStyle w:val="VerbatimChar"/>
        </w:rPr>
        <w:t xml:space="preserve">c=0.10</w:t>
      </w:r>
      <w:r>
        <w:t xml:space="preserve"> </w:t>
      </w:r>
      <w:r>
        <w:t xml:space="preserve">增至</w:t>
      </w:r>
      <w:r>
        <w:t xml:space="preserve"> </w:t>
      </w:r>
      <w:r>
        <w:rPr>
          <w:rStyle w:val="VerbatimChar"/>
        </w:rPr>
        <w:t xml:space="preserve">0.80</w:t>
      </w:r>
      <w:r>
        <w:t xml:space="preserve">，全场景平均事件级大级联率从</w:t>
      </w:r>
      <w:r>
        <w:t xml:space="preserve"> </w:t>
      </w:r>
      <w:r>
        <w:rPr>
          <w:rStyle w:val="VerbatimChar"/>
        </w:rPr>
        <w:t xml:space="preserve">0.0001</w:t>
      </w:r>
      <w:r>
        <w:t xml:space="preserve"> </w:t>
      </w:r>
      <w:r>
        <w:t xml:space="preserve">增至</w:t>
      </w:r>
      <w:r>
        <w:t xml:space="preserve"> </w:t>
      </w:r>
      <w:r>
        <w:rPr>
          <w:rStyle w:val="VerbatimChar"/>
        </w:rPr>
        <w:t xml:space="preserve">0.7576</w:t>
      </w:r>
      <w:r>
        <w:t xml:space="preserve">，平均事件规模占比从</w:t>
      </w:r>
      <w:r>
        <w:t xml:space="preserve"> </w:t>
      </w:r>
      <w:r>
        <w:rPr>
          <w:rStyle w:val="VerbatimChar"/>
        </w:rPr>
        <w:t xml:space="preserve">0.0094</w:t>
      </w:r>
      <w:r>
        <w:t xml:space="preserve"> </w:t>
      </w:r>
      <w:r>
        <w:t xml:space="preserve">增至</w:t>
      </w:r>
      <w:r>
        <w:t xml:space="preserve"> </w:t>
      </w:r>
      <w:r>
        <w:rPr>
          <w:rStyle w:val="VerbatimChar"/>
        </w:rPr>
        <w:t xml:space="preserve">0.2637</w:t>
      </w:r>
      <w:r>
        <w:t xml:space="preserve">，事件占用率从</w:t>
      </w:r>
      <w:r>
        <w:t xml:space="preserve"> </w:t>
      </w:r>
      <w:r>
        <w:rPr>
          <w:rStyle w:val="VerbatimChar"/>
        </w:rPr>
        <w:t xml:space="preserve">0.1913</w:t>
      </w:r>
      <w:r>
        <w:t xml:space="preserve"> </w:t>
      </w:r>
      <w:r>
        <w:t xml:space="preserve">增至</w:t>
      </w:r>
      <w:r>
        <w:t xml:space="preserve"> </w:t>
      </w:r>
      <w:r>
        <w:rPr>
          <w:rStyle w:val="VerbatimChar"/>
        </w:rPr>
        <w:t xml:space="preserve">0.9749</w:t>
      </w:r>
      <w:r>
        <w:t xml:space="preserve">。这说明高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不是把系统推向稀疏临界 avalanche，而是把大量场景推向近乎每期发生违约的过载区。</w:t>
      </w:r>
    </w:p>
    <w:p>
      <w:pPr>
        <w:numPr>
          <w:ilvl w:val="0"/>
          <w:numId w:val="1002"/>
        </w:numPr>
        <w:pStyle w:val="Compact"/>
      </w:pPr>
      <w:r>
        <w:t xml:space="preserve">收入分配机制影响最强：biased 收入下平均大级联率为</w:t>
      </w:r>
      <w:r>
        <w:t xml:space="preserve"> </w:t>
      </w:r>
      <w:r>
        <w:rPr>
          <w:rStyle w:val="VerbatimChar"/>
        </w:rPr>
        <w:t xml:space="preserve">0.5026</w:t>
      </w:r>
      <w:r>
        <w:t xml:space="preserve">，uniform 收入下为</w:t>
      </w:r>
      <w:r>
        <w:t xml:space="preserve"> </w:t>
      </w:r>
      <w:r>
        <w:rPr>
          <w:rStyle w:val="VerbatimChar"/>
        </w:rPr>
        <w:t xml:space="preserve">0.1393</w:t>
      </w:r>
      <w:r>
        <w:t xml:space="preserve">；biased 收入同时显著提高事件占用率和平均规模。</w:t>
      </w:r>
    </w:p>
    <w:p>
      <w:pPr>
        <w:numPr>
          <w:ilvl w:val="0"/>
          <w:numId w:val="1002"/>
        </w:numPr>
        <w:pStyle w:val="Compact"/>
      </w:pPr>
      <w:r>
        <w:t xml:space="preserve">支出机制呈单调放大：</w:t>
      </w:r>
      <w:r>
        <w:rPr>
          <w:rStyle w:val="VerbatimChar"/>
        </w:rPr>
        <w:t xml:space="preserve">high_both</w:t>
      </w:r>
      <w:r>
        <w:t xml:space="preserve">、</w:t>
      </w:r>
      <w:r>
        <w:rPr>
          <w:rStyle w:val="VerbatimChar"/>
        </w:rPr>
        <w:t xml:space="preserve">high_income</w:t>
      </w:r>
      <w:r>
        <w:t xml:space="preserve">、</w:t>
      </w:r>
      <w:r>
        <w:rPr>
          <w:rStyle w:val="VerbatimChar"/>
        </w:rPr>
        <w:t xml:space="preserve">high_wealth</w:t>
      </w:r>
      <w:r>
        <w:t xml:space="preserve"> </w:t>
      </w:r>
      <w:r>
        <w:t xml:space="preserve">的平均规模和大事件率均高于 baseline/low，说明更强消费/投资流量压力会更早触发资产负债表违约。</w:t>
      </w:r>
    </w:p>
    <w:p>
      <w:pPr>
        <w:numPr>
          <w:ilvl w:val="0"/>
          <w:numId w:val="1002"/>
        </w:numPr>
        <w:pStyle w:val="Compact"/>
      </w:pPr>
      <w:r>
        <w:t xml:space="preserve">本金初始化中 lognormal、pareto、uniform 的平均事件规模较高，equal/normal 相对缓和；但大级联高发区域仍主要由</w:t>
      </w:r>
      <w:r>
        <w:t xml:space="preserve"> </w:t>
      </w:r>
      <w:r>
        <w:rPr>
          <w:rStyle w:val="VerbatimChar"/>
        </w:rPr>
        <w:t xml:space="preserve">c</w:t>
      </w:r>
      <w:r>
        <w:t xml:space="preserve">、biased 收入和高支出共同决定。</w:t>
      </w:r>
    </w:p>
    <w:p>
      <w:pPr>
        <w:numPr>
          <w:ilvl w:val="0"/>
          <w:numId w:val="1002"/>
        </w:numPr>
        <w:pStyle w:val="Compact"/>
      </w:pPr>
      <w:r>
        <w:t xml:space="preserve">拓扑结构改变级联规模和传播占比，但在本轮</w:t>
      </w:r>
      <w:r>
        <w:t xml:space="preserve"> </w:t>
      </w:r>
      <w:r>
        <w:rPr>
          <w:rStyle w:val="VerbatimChar"/>
        </w:rPr>
        <w:t xml:space="preserve">N=120</w:t>
      </w:r>
      <w:r>
        <w:t xml:space="preserve">、</w:t>
      </w:r>
      <w:r>
        <w:rPr>
          <w:rStyle w:val="VerbatimChar"/>
        </w:rPr>
        <w:t xml:space="preserve">K_t=round(cY)</w:t>
      </w:r>
      <w:r>
        <w:t xml:space="preserve">、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协议下，拓扑不是最主导因素；complete、BA/ER/SW 高平均度都会进入高风险区。</w:t>
      </w:r>
    </w:p>
    <w:p>
      <w:pPr>
        <w:numPr>
          <w:ilvl w:val="0"/>
          <w:numId w:val="1002"/>
        </w:numPr>
        <w:pStyle w:val="Compact"/>
      </w:pPr>
      <w:r>
        <w:t xml:space="preserve">SOC 快速筛选中</w:t>
      </w:r>
      <w:r>
        <w:t xml:space="preserve"> </w:t>
      </w:r>
      <w:r>
        <w:rPr>
          <w:rStyle w:val="VerbatimChar"/>
        </w:rPr>
        <w:t xml:space="preserve">quick_soc_candidate=0</w:t>
      </w:r>
      <w:r>
        <w:t xml:space="preserve">。160 个尾部候选全部可拟合出某种幂律诊断，但只有 81 个通过“幂律不拒绝”类门槛，且只有 1 个场景没有被 exponential/lognormal 等替代分布更好解释；没有任何场景同时满足非饱和、转变区、传播占比、尾部可信和替代分布不过强这些条件。</w:t>
      </w:r>
    </w:p>
    <w:p>
      <w:pPr>
        <w:pStyle w:val="FirstParagraph"/>
      </w:pPr>
      <w:r>
        <w:t xml:space="preserve">按项目定义，这意味着：</w:t>
      </w:r>
      <w:r>
        <w:rPr>
          <w:bCs/>
          <w:b/>
        </w:rPr>
        <w:t xml:space="preserve">当前完备场景扫描支持“级联失效规模相图”和“过载转变相图”，但不支持严格 SOC 相图中存在稳定临界区域</w:t>
      </w:r>
      <w:r>
        <w:t xml:space="preserve">。高风险区应解释为持续失败/过载吸引子，而非 SOC。</w:t>
      </w:r>
    </w:p>
    <w:bookmarkEnd w:id="21"/>
    <w:bookmarkStart w:id="22" w:name="按-c-聚合的相图骨架"/>
    <w:p>
      <w:pPr>
        <w:pStyle w:val="Heading3"/>
        <w:ind w:left="0" w:right="0" w:firstLine="0"/>
      </w:pPr>
      <w:r>
        <w:t xml:space="preserve">按 c 聚合的相图骨架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平均大级联率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平均事件规模占比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平均事件占用率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平均传播占比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近饱和场景数/1000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966</w:t>
            </w:r>
          </w:p>
        </w:tc>
      </w:tr>
    </w:tbl>
    <w:p>
      <w:pPr>
        <w:pStyle w:val="BodyText"/>
      </w:pPr>
      <w:r>
        <w:t xml:space="preserve">完整辅助表见</w:t>
      </w:r>
      <w:r>
        <w:t xml:space="preserve"> </w:t>
      </w:r>
      <w:r>
        <w:rPr>
          <w:rStyle w:val="VerbatimChar"/>
        </w:rPr>
        <w:t xml:space="preserve">results/credit_soc_comprehensive_scan_analysis_20260608_v1/phase_summary_by_c.csv</w:t>
      </w:r>
      <w:r>
        <w:t xml:space="preserve">、</w:t>
      </w:r>
      <w:r>
        <w:rPr>
          <w:rStyle w:val="VerbatimChar"/>
        </w:rPr>
        <w:t xml:space="preserve">axis_effect_summary.csv</w:t>
      </w:r>
      <w:r>
        <w:t xml:space="preserve">、</w:t>
      </w:r>
      <w:r>
        <w:rPr>
          <w:rStyle w:val="VerbatimChar"/>
        </w:rPr>
        <w:t xml:space="preserve">top_cascade_scenarios.csv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soc_gate_summary.csv</w:t>
      </w:r>
      <w:r>
        <w:t xml:space="preserve">。</w:t>
      </w:r>
    </w:p>
    <w:bookmarkEnd w:id="22"/>
    <w:bookmarkEnd w:id="23"/>
    <w:bookmarkStart w:id="51" w:name="级联失效规模相图"/>
    <w:p>
      <w:pPr>
        <w:pStyle w:val="Heading2"/>
        <w:ind w:left="0" w:right="0" w:firstLine="0"/>
      </w:pPr>
      <w:r>
        <w:t xml:space="preserve">2. 级联失效规模相图</w:t>
      </w:r>
    </w:p>
    <w:p>
      <w:pPr>
        <w:pStyle w:val="CaptionedFigure"/>
      </w:pPr>
      <w:r>
        <w:drawing>
          <wp:inline>
            <wp:extent cx="5334000" cy="2883243"/>
            <wp:effectExtent b="0" l="0" r="0" t="0"/>
            <wp:docPr descr="cascade_phase_by_money.png" title="" id="25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cascade_phase_by_mone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cascade_phase_by_money.png</w:t>
      </w:r>
    </w:p>
    <w:p>
      <w:pPr>
        <w:pStyle w:val="CaptionedFigure"/>
      </w:pPr>
      <w:r>
        <w:drawing>
          <wp:inline>
            <wp:extent cx="5334000" cy="2883243"/>
            <wp:effectExtent b="0" l="0" r="0" t="0"/>
            <wp:docPr descr="cascade_phase_by_income_rule.png" title="" id="28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cascade_phase_by_income_rul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cascade_phase_by_income_rule.png</w:t>
      </w:r>
    </w:p>
    <w:p>
      <w:pPr>
        <w:pStyle w:val="CaptionedFigure"/>
      </w:pPr>
      <w:r>
        <w:drawing>
          <wp:inline>
            <wp:extent cx="5334000" cy="2883243"/>
            <wp:effectExtent b="0" l="0" r="0" t="0"/>
            <wp:docPr descr="cascade_phase_by_spending.png" title="" id="31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cascade_phase_by_spending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cascade_phase_by_spending.png</w:t>
      </w:r>
    </w:p>
    <w:p>
      <w:pPr>
        <w:pStyle w:val="CaptionedFigure"/>
      </w:pPr>
      <w:r>
        <w:drawing>
          <wp:inline>
            <wp:extent cx="5334000" cy="3387810"/>
            <wp:effectExtent b="0" l="0" r="0" t="0"/>
            <wp:docPr descr="cascade_phase_by_topology.png" title="" id="34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cascade_phase_by_topology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cascade_phase_by_topology.png</w:t>
      </w:r>
    </w:p>
    <w:p>
      <w:pPr>
        <w:pStyle w:val="CaptionedFigure"/>
      </w:pPr>
      <w:r>
        <w:drawing>
          <wp:inline>
            <wp:extent cx="5334000" cy="2883243"/>
            <wp:effectExtent b="0" l="0" r="0" t="0"/>
            <wp:docPr descr="cascade_phase_by_growth_rule.png" title="" id="37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cascade_phase_by_growth_rul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cascade_phase_by_growth_rule.png</w:t>
      </w:r>
    </w:p>
    <w:p>
      <w:pPr>
        <w:pStyle w:val="CaptionedFigure"/>
      </w:pPr>
      <w:r>
        <w:drawing>
          <wp:inline>
            <wp:extent cx="5334000" cy="2883243"/>
            <wp:effectExtent b="0" l="0" r="0" t="0"/>
            <wp:docPr descr="large_event_phase_by_money.png" title="" id="40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large_event_phase_by_money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large_event_phase_by_money.png</w:t>
      </w:r>
    </w:p>
    <w:p>
      <w:pPr>
        <w:pStyle w:val="CaptionedFigure"/>
      </w:pPr>
      <w:r>
        <w:drawing>
          <wp:inline>
            <wp:extent cx="5334000" cy="2883243"/>
            <wp:effectExtent b="0" l="0" r="0" t="0"/>
            <wp:docPr descr="large_event_phase_by_spending.png" title="" id="43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large_event_phase_by_spending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large_event_phase_by_spending.png</w:t>
      </w:r>
    </w:p>
    <w:p>
      <w:pPr>
        <w:pStyle w:val="CaptionedFigure"/>
      </w:pPr>
      <w:r>
        <w:drawing>
          <wp:inline>
            <wp:extent cx="5334000" cy="3387810"/>
            <wp:effectExtent b="0" l="0" r="0" t="0"/>
            <wp:docPr descr="large_event_phase_by_topology.png" title="" id="46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large_event_phase_by_topology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large_event_phase_by_topology.png</w:t>
      </w:r>
    </w:p>
    <w:p>
      <w:pPr>
        <w:pStyle w:val="CaptionedFigure"/>
      </w:pPr>
      <w:r>
        <w:drawing>
          <wp:inline>
            <wp:extent cx="5334000" cy="10307594"/>
            <wp:effectExtent b="0" l="0" r="0" t="0"/>
            <wp:docPr descr="global_cascade_phase_map.png" title="" id="49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global_cascade_phase_map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07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global_cascade_phase_map.png</w:t>
      </w:r>
    </w:p>
    <w:p>
      <w:pPr>
        <w:pStyle w:val="BodyText"/>
      </w:pPr>
      <w:r>
        <w:t xml:space="preserve">级联规模最高的场景如下：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income_distribution_rule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spending_label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event_large_event_rate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mean_event_fraction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propagated_share_total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event_occupancy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51"/>
    <w:bookmarkStart w:id="57" w:name="soc-快速筛选相图"/>
    <w:p>
      <w:pPr>
        <w:pStyle w:val="Heading2"/>
        <w:ind w:left="0" w:right="0" w:firstLine="0"/>
      </w:pPr>
      <w:r>
        <w:t xml:space="preserve">3. SOC 快速筛选相图</w:t>
      </w:r>
    </w:p>
    <w:p>
      <w:pPr>
        <w:pStyle w:val="FirstParagraph"/>
      </w:pPr>
      <w:r>
        <w:t xml:space="preserve">SOC 快速筛选不是最终证明。它只是把事件数、非饱和占用、级联转变、传播新增占比、尾部拟合和替代分布对照合成一个 0-6 分的候选指标。</w:t>
      </w:r>
    </w:p>
    <w:p>
      <w:pPr>
        <w:numPr>
          <w:ilvl w:val="0"/>
          <w:numId w:val="1003"/>
        </w:numPr>
        <w:pStyle w:val="Compact"/>
      </w:pPr>
      <w:r>
        <w:t xml:space="preserve">快速候选数：0</w:t>
      </w:r>
    </w:p>
    <w:p>
      <w:pPr>
        <w:numPr>
          <w:ilvl w:val="0"/>
          <w:numId w:val="1003"/>
        </w:numPr>
        <w:pStyle w:val="Compact"/>
      </w:pPr>
      <w:r>
        <w:t xml:space="preserve">近持续失败/饱和场景数（event occupancy &gt;= 0.80）：4443</w:t>
      </w:r>
    </w:p>
    <w:p>
      <w:pPr>
        <w:pStyle w:val="FirstParagraph"/>
      </w:pPr>
      <w:r>
        <w:t xml:space="preserve">SOC gate 的通过情况如下：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通过场景数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通过率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事件数足够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非饱和占用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处于转变区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传播新增占比足够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尾部幂律诊断可接受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替代分布没有更优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 SOC 候选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这里的“尾部幂律诊断可接受”只是快速 bootstrap 下的候选门槛；它不是最终严格幂律证明。关键在于：即使部分场景的幂律拟合不被拒绝，几乎全部场景仍被替代分布、饱和占用或非传播主导问题排除。</w:t>
      </w:r>
    </w:p>
    <w:bookmarkStart w:id="52" w:name="soc-相图读法"/>
    <w:p>
      <w:pPr>
        <w:pStyle w:val="Heading3"/>
        <w:ind w:left="0" w:right="0" w:firstLine="0"/>
      </w:pPr>
      <w:r>
        <w:t xml:space="preserve">SOC 相图读法</w:t>
      </w:r>
    </w:p>
    <w:p>
      <w:pPr>
        <w:pStyle w:val="FirstParagraph"/>
      </w:pPr>
      <w:r>
        <w:t xml:space="preserve">SOC 相图不等于“大级联越多越接近 SOC”。在本轮结果中，高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高风险区通常同时具有：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event_occupancy</w:t>
      </w:r>
      <w:r>
        <w:t xml:space="preserve"> </w:t>
      </w:r>
      <w:r>
        <w:t xml:space="preserve">接近 1，即几乎每期都发生记录事件；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event_large_event_rate</w:t>
      </w:r>
      <w:r>
        <w:t xml:space="preserve"> </w:t>
      </w:r>
      <w:r>
        <w:t xml:space="preserve">接近 1，即大级联不再是稀疏 avalanche，而是持续过载；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propagated_share_total</w:t>
      </w:r>
      <w:r>
        <w:t xml:space="preserve"> </w:t>
      </w:r>
      <w:r>
        <w:t xml:space="preserve">在最大规模场景中往往只有 5%-10% 左右，说明总规模很大部分来自期末同步初始违约；</w:t>
      </w:r>
    </w:p>
    <w:p>
      <w:pPr>
        <w:numPr>
          <w:ilvl w:val="0"/>
          <w:numId w:val="1004"/>
        </w:numPr>
        <w:pStyle w:val="Compact"/>
      </w:pPr>
      <w:r>
        <w:t xml:space="preserve">tail fit 即便局部不拒绝幂律，</w:t>
      </w:r>
      <w:r>
        <w:rPr>
          <w:rStyle w:val="VerbatimChar"/>
        </w:rPr>
        <w:t xml:space="preserve">pl_vs_lognormal_R</w:t>
      </w:r>
      <w:r>
        <w:t xml:space="preserve"> </w:t>
      </w:r>
      <w:r>
        <w:t xml:space="preserve">多为负，替代分布解释并不差。</w:t>
      </w:r>
    </w:p>
    <w:p>
      <w:pPr>
        <w:pStyle w:val="FirstParagraph"/>
      </w:pPr>
      <w:r>
        <w:t xml:space="preserve">因此，本轮 SOC 相图的结论是“没有候选临界带”，而不是“最高风险区就是 SOC 区”。</w:t>
      </w:r>
    </w:p>
    <w:bookmarkEnd w:id="52"/>
    <w:bookmarkStart w:id="56" w:name="主要场景维度效应"/>
    <w:p>
      <w:pPr>
        <w:pStyle w:val="Heading3"/>
        <w:ind w:left="0" w:right="0" w:firstLine="0"/>
      </w:pPr>
      <w:r>
        <w:t xml:space="preserve">主要场景维度效应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代表类别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平均大级联率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平均事件规模占比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平均事件占用率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平均传播占比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收入分配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收入分配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支出机制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支出机制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支出机制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本金初始化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本金初始化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本金初始化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增长规则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增长规则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拓扑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拓扑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拓扑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0.1470</w:t>
            </w:r>
          </w:p>
        </w:tc>
      </w:tr>
    </w:tbl>
    <w:p>
      <w:pPr>
        <w:pStyle w:val="CaptionedFigure"/>
      </w:pPr>
      <w:r>
        <w:drawing>
          <wp:inline>
            <wp:extent cx="5334000" cy="10307594"/>
            <wp:effectExtent b="0" l="0" r="0" t="0"/>
            <wp:docPr descr="global_soc_screen_phase_map.png" title="" id="54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global_soc_screen_phase_map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07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global_soc_screen_phase_map.png</w:t>
      </w:r>
    </w:p>
    <w:p>
      <w:pPr>
        <w:pStyle w:val="BodyText"/>
      </w:pPr>
      <w:r>
        <w:t xml:space="preserve">SOC 快速筛选分数最高的场景如下：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soc_screen_score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quick_soc_candidate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income_distribution_rule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spending_label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event_large_event_rate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propagated_share_total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bounded_bootstrap_p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pl_vs_lognormal_R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0.7889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0.2583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-5.762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-7.387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-2.848</w:t>
            </w:r>
          </w:p>
        </w:tc>
      </w:tr>
    </w:tbl>
    <w:bookmarkEnd w:id="56"/>
    <w:bookmarkEnd w:id="57"/>
    <w:bookmarkStart w:id="79" w:name="级联失效规模-频率关系图"/>
    <w:p>
      <w:pPr>
        <w:pStyle w:val="Heading2"/>
        <w:ind w:left="0" w:right="0" w:firstLine="0"/>
      </w:pPr>
      <w:r>
        <w:t xml:space="preserve">4. 级联失效规模-频率关系图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ccdf_by_c.png" title="" id="59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ccdf_by_c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ccdf_by_c.png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ccdf_by_money.png" title="" id="62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ccdf_by_money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ccdf_by_money.png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ccdf_by_income_rule.png" title="" id="65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ccdf_by_income_rul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ccdf_by_income_rule.png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ccdf_by_spending.png" title="" id="68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ccdf_by_spending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ccdf_by_spending.png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ccdf_by_topology.png" title="" id="71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ccdf_by_topology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ccdf_by_topology.png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ccdf_by_growth_rule.png" title="" id="74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ccdf_by_growth_rul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ccdf_by_growth_rule.png</w:t>
      </w:r>
    </w:p>
    <w:p>
      <w:pPr>
        <w:pStyle w:val="CaptionedFigure"/>
      </w:pPr>
      <w:r>
        <w:drawing>
          <wp:inline>
            <wp:extent cx="5334000" cy="5418666"/>
            <wp:effectExtent b="0" l="0" r="0" t="0"/>
            <wp:docPr descr="top_candidate_ccdf_grid.png" title="" id="77" name="Picture"/>
            <a:graphic>
              <a:graphicData uri="http://schemas.openxmlformats.org/drawingml/2006/picture">
                <pic:pic>
                  <pic:nvPicPr>
                    <pic:cNvPr descr="../results/credit_soc_comprehensive_scan_analysis_20260608_v1/top_candidate_ccdf_grid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top_candidate_ccdf_grid.png</w:t>
      </w:r>
    </w:p>
    <w:bookmarkEnd w:id="79"/>
    <w:bookmarkStart w:id="80" w:name="尾部拟合摘要"/>
    <w:p>
      <w:pPr>
        <w:pStyle w:val="Heading2"/>
        <w:ind w:left="0" w:right="0" w:firstLine="0"/>
      </w:pPr>
      <w:r>
        <w:t xml:space="preserve">5. 尾部拟合摘要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income_distribution_rule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spending_label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bounded_alpha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bounded_bootstrap_p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pl_vs_exponential_R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pl_vs_lognormal_R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ba_k12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er_k6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-1.709</w:t>
            </w:r>
          </w:p>
        </w:tc>
      </w:tr>
    </w:tbl>
    <w:bookmarkEnd w:id="80"/>
    <w:bookmarkStart w:id="81" w:name="当前判定"/>
    <w:p>
      <w:pPr>
        <w:pStyle w:val="Heading2"/>
        <w:ind w:left="0" w:right="0" w:firstLine="0"/>
      </w:pPr>
      <w:r>
        <w:t xml:space="preserve">6. 当前判定</w:t>
      </w:r>
    </w:p>
    <w:p>
      <w:pPr>
        <w:pStyle w:val="FirstParagraph"/>
      </w:pPr>
      <w:r>
        <w:t xml:space="preserve">本轮完备场景扫描可以给出两个相图层面的结论：</w:t>
      </w:r>
    </w:p>
    <w:p>
      <w:pPr>
        <w:numPr>
          <w:ilvl w:val="0"/>
          <w:numId w:val="1005"/>
        </w:numPr>
        <w:pStyle w:val="Compact"/>
      </w:pPr>
      <w:r>
        <w:t xml:space="preserve">级联失效规模相图：高</w:t>
      </w:r>
      <w:r>
        <w:t xml:space="preserve"> </w:t>
      </w:r>
      <w:r>
        <w:rPr>
          <w:rStyle w:val="VerbatimChar"/>
        </w:rPr>
        <w:t xml:space="preserve">c</w:t>
      </w:r>
      <w:r>
        <w:t xml:space="preserve">、高支出倾向、biased 收入分配、重尾本金和部分稀疏/异质拓扑会显著推高大级联率和平均规模。</w:t>
      </w:r>
    </w:p>
    <w:p>
      <w:pPr>
        <w:numPr>
          <w:ilvl w:val="0"/>
          <w:numId w:val="1005"/>
        </w:numPr>
        <w:pStyle w:val="Compact"/>
      </w:pPr>
      <w:r>
        <w:t xml:space="preserve">SOC 相图：出现大级联或重尾的区域不等同于严格 SOC。凡是 event occupancy 接近 1、传播新增占比低、或尾部被替代分布更好解释的区域，应解释为过载/持续失败区，而不是 SOC。</w:t>
      </w:r>
    </w:p>
    <w:p>
      <w:pPr>
        <w:pStyle w:val="FirstParagraph"/>
      </w:pPr>
      <w:r>
        <w:t xml:space="preserve">最终 SOC 推断仍遵循项目定义：大级联出现 &lt; 稳健级联转变 &lt; 重尾 &lt; 可信幂律 &lt; 严格 SOC。后续如果要提升某个候选区，需要对该候选继续做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扩展、长时平稳性、重复违约与机制消融。</w:t>
      </w:r>
    </w:p>
    <w:bookmarkEnd w:id="81"/>
    <w:bookmarkStart w:id="82" w:name="解释边界和后续建议"/>
    <w:p>
      <w:pPr>
        <w:pStyle w:val="Heading2"/>
        <w:ind w:left="0" w:right="0" w:firstLine="0"/>
      </w:pPr>
      <w:r>
        <w:t xml:space="preserve">7. 解释边界和后续建议</w:t>
      </w:r>
    </w:p>
    <w:p>
      <w:pPr>
        <w:pStyle w:val="FirstParagraph"/>
      </w:pPr>
      <w:r>
        <w:t xml:space="preserve">本轮扫描是“完备场景筛选”，不是对每个场景都做最终严格 SOC 证明。为了在时间有限下覆盖更多机制，使用了</w:t>
      </w:r>
      <w:r>
        <w:t xml:space="preserve"> </w:t>
      </w:r>
      <w:r>
        <w:rPr>
          <w:rStyle w:val="VerbatimChar"/>
        </w:rPr>
        <w:t xml:space="preserve">N=120</w:t>
      </w:r>
      <w:r>
        <w:t xml:space="preserve">、每 scenario 3 个 seed、每 run 120 periods 的统一协议，并用快速 SOC gate 排除明显不合格场景。这个设计适合画相图和找候选，但不适合把单个候选直接升级为严格 SOC。</w:t>
      </w:r>
    </w:p>
    <w:p>
      <w:pPr>
        <w:pStyle w:val="BodyText"/>
      </w:pPr>
      <w:r>
        <w:t xml:space="preserve">后续如果需要进一步加强证据，应优先对 SOC 快筛分数最高但未过门槛的边界场景做三类复核：</w:t>
      </w:r>
    </w:p>
    <w:p>
      <w:pPr>
        <w:numPr>
          <w:ilvl w:val="0"/>
          <w:numId w:val="1006"/>
        </w:numPr>
        <w:pStyle w:val="Compact"/>
      </w:pPr>
      <w:r>
        <w:t xml:space="preserve">有限尺寸：</w:t>
      </w:r>
      <w:r>
        <w:rPr>
          <w:rStyle w:val="VerbatimChar"/>
        </w:rPr>
        <w:t xml:space="preserve">N=120/240/500</w:t>
      </w:r>
      <w:r>
        <w:t xml:space="preserve">，保持收入内生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或等价强度，而不是固定绝对</w:t>
      </w:r>
      <w:r>
        <w:t xml:space="preserve"> </w:t>
      </w:r>
      <w:r>
        <w:rPr>
          <w:rStyle w:val="VerbatimChar"/>
        </w:rPr>
        <w:t xml:space="preserve">K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长时平稳性：把 period 数扩展到 1000+，检查 early/late 漂移、重复违约和活跃信贷终态。</w:t>
      </w:r>
    </w:p>
    <w:p>
      <w:pPr>
        <w:numPr>
          <w:ilvl w:val="0"/>
          <w:numId w:val="1006"/>
        </w:numPr>
        <w:pStyle w:val="Compact"/>
      </w:pPr>
      <w:r>
        <w:t xml:space="preserve">事件定义复核：拆分</w:t>
      </w:r>
      <w:r>
        <w:t xml:space="preserve"> </w:t>
      </w:r>
      <w:r>
        <w:rPr>
          <w:rStyle w:val="VerbatimChar"/>
        </w:rPr>
        <w:t xml:space="preserve">initial_default_count</w:t>
      </w:r>
      <w:r>
        <w:t xml:space="preserve">、</w:t>
      </w:r>
      <w:r>
        <w:rPr>
          <w:rStyle w:val="VerbatimChar"/>
        </w:rPr>
        <w:t xml:space="preserve">propagated_default_count</w:t>
      </w:r>
      <w:r>
        <w:t xml:space="preserve"> </w:t>
      </w:r>
      <w:r>
        <w:t xml:space="preserve">和 repeated defaults，确认规模-频率图中的尾部是否来自网络传播，而非同步结算或重复失败。</w:t>
      </w:r>
    </w:p>
    <w:p>
      <w:pPr>
        <w:pStyle w:val="FirstParagraph"/>
      </w:pPr>
      <w:r>
        <w:t xml:space="preserve">在当前证据下，没有必要把高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过载区继续解释为 SOC 候选；更有价值的是研究它作为“信贷流量压力导致的系统性持续失败区”的政策含义。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ind w:left="0" w:right="0" w:firstLine="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6" Type="http://schemas.openxmlformats.org/officeDocument/2006/relationships/image" Target="media/rId36.png"/><Relationship Id="rId27" Type="http://schemas.openxmlformats.org/officeDocument/2006/relationships/image" Target="media/rId27.png"/><Relationship Id="rId24" Type="http://schemas.openxmlformats.org/officeDocument/2006/relationships/image" Target="media/rId24.png"/><Relationship Id="rId30" Type="http://schemas.openxmlformats.org/officeDocument/2006/relationships/image" Target="media/rId30.png"/><Relationship Id="rId33" Type="http://schemas.openxmlformats.org/officeDocument/2006/relationships/image" Target="media/rId33.png"/><Relationship Id="rId58" Type="http://schemas.openxmlformats.org/officeDocument/2006/relationships/image" Target="media/rId58.png"/><Relationship Id="rId73" Type="http://schemas.openxmlformats.org/officeDocument/2006/relationships/image" Target="media/rId73.png"/><Relationship Id="rId64" Type="http://schemas.openxmlformats.org/officeDocument/2006/relationships/image" Target="media/rId64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0" Type="http://schemas.openxmlformats.org/officeDocument/2006/relationships/image" Target="media/rId70.png"/><Relationship Id="rId48" Type="http://schemas.openxmlformats.org/officeDocument/2006/relationships/image" Target="media/rId48.png"/><Relationship Id="rId53" Type="http://schemas.openxmlformats.org/officeDocument/2006/relationships/image" Target="media/rId53.png"/><Relationship Id="rId39" Type="http://schemas.openxmlformats.org/officeDocument/2006/relationships/image" Target="media/rId39.png"/><Relationship Id="rId42" Type="http://schemas.openxmlformats.org/officeDocument/2006/relationships/image" Target="media/rId42.png"/><Relationship Id="rId45" Type="http://schemas.openxmlformats.org/officeDocument/2006/relationships/image" Target="media/rId45.png"/><Relationship Id="rId76" Type="http://schemas.openxmlformats.org/officeDocument/2006/relationships/image" Target="media/rId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2026-06-09T08:04:32Z</dcterms:created>
  <dcterms:modified xsi:type="dcterms:W3CDTF">2026-06-09T08:04:32Z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