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period-粒度临界带细扫与-soc-候选报告-v1"/>
    <w:p>
      <w:pPr>
        <w:pStyle w:val="Heading1"/>
        <w:keepNext/>
      </w:pPr>
      <w:r>
        <w:t xml:space="preserve">period 粒度临界带细扫与 SOC 候选报告 v1</w:t>
      </w:r>
    </w:p>
    <w:p>
      <w:pPr>
        <w:pStyle w:val="FirstParagraph"/>
      </w:pPr>
      <w:r>
        <w:t xml:space="preserve">生成时间：2026-06-09 17:42 CST</w:t>
      </w:r>
    </w:p>
    <w:bookmarkStart w:id="20" w:name="X27796516fa3df9f1330d8e2ed6994dcdce0a89e"/>
    <w:p>
      <w:pPr>
        <w:pStyle w:val="Heading2"/>
        <w:keepNext/>
      </w:pPr>
      <w:r>
        <w:t xml:space="preserve">1. 实验目标</w:t>
      </w:r>
    </w:p>
    <w:p>
      <w:pPr>
        <w:pStyle w:val="FirstParagraph"/>
      </w:pPr>
      <w:r>
        <w:t xml:space="preserve">粗网格扫描显示，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协议下主要分为低风险区和持续失败/过载区。为了检验两者之间是否存在可观察 SOC 统计的临界带，本轮在相图边界附近进行更细的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扫描。</w:t>
      </w:r>
    </w:p>
    <w:p>
      <w:pPr>
        <w:pStyle w:val="BodyText"/>
      </w:pPr>
      <w:r>
        <w:t xml:space="preserve">本报告只讨论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粒度。判定口径仍遵循项目证据阶梯：大级联、稳健转变、重尾、可信幂律、严格 SOC 需要逐级区分。</w:t>
      </w:r>
    </w:p>
    <w:bookmarkEnd w:id="20"/>
    <w:bookmarkStart w:id="21" w:name="X5118459b5d98065436bde17ceba9c0285966a25"/>
    <w:p>
      <w:pPr>
        <w:pStyle w:val="Heading2"/>
        <w:keepNext/>
      </w:pPr>
      <w:r>
        <w:t xml:space="preserve">2. 扫描设计</w:t>
      </w:r>
    </w:p>
    <w:p>
      <w:pPr>
        <w:pStyle w:val="FirstParagraph"/>
      </w:pPr>
      <w:r>
        <w:t xml:space="preserve">第一阶段细扫：</w:t>
      </w:r>
    </w:p>
    <w:p>
      <w:pPr>
        <w:numPr>
          <w:ilvl w:val="0"/>
          <w:numId w:val="1001"/>
        </w:numPr>
        <w:pStyle w:val="Compact"/>
      </w:pPr>
      <w:r>
        <w:t xml:space="preserve">目录：</w:t>
      </w:r>
      <w:r>
        <w:rPr>
          <w:rStyle w:val="VerbatimChar"/>
        </w:rPr>
        <w:t xml:space="preserve">results/credit_soc_period_critical_refined_20260609_v1/merged</w:t>
      </w:r>
    </w:p>
    <w:p>
      <w:pPr>
        <w:numPr>
          <w:ilvl w:val="0"/>
          <w:numId w:val="1001"/>
        </w:numPr>
        <w:pStyle w:val="Compact"/>
      </w:pPr>
      <w:r>
        <w:t xml:space="preserve">分析：</w:t>
      </w:r>
      <w:r>
        <w:rPr>
          <w:rStyle w:val="VerbatimChar"/>
        </w:rPr>
        <w:t xml:space="preserve">results/credit_soc_period_critical_refined_analysis_20260609_v1</w:t>
      </w:r>
    </w:p>
    <w:p>
      <w:pPr>
        <w:numPr>
          <w:ilvl w:val="0"/>
          <w:numId w:val="1001"/>
        </w:numPr>
        <w:pStyle w:val="Compact"/>
      </w:pPr>
      <w:r>
        <w:t xml:space="preserve">场景来源：从 2026-06-08 完备扫描中筛选非饱和转变带候选。</w:t>
      </w:r>
    </w:p>
    <w:p>
      <w:pPr>
        <w:numPr>
          <w:ilvl w:val="0"/>
          <w:numId w:val="1001"/>
        </w:numPr>
        <w:pStyle w:val="Compact"/>
      </w:pPr>
      <w:r>
        <w:t xml:space="preserve">参数：12 个 base scenario，</w:t>
      </w:r>
      <w:r>
        <w:rPr>
          <w:rStyle w:val="VerbatimChar"/>
        </w:rPr>
        <w:t xml:space="preserve">c=center±0.10</w:t>
      </w:r>
      <w:r>
        <w:t xml:space="preserve">，步长</w:t>
      </w:r>
      <w:r>
        <w:t xml:space="preserve"> </w:t>
      </w:r>
      <w:r>
        <w:rPr>
          <w:rStyle w:val="VerbatimChar"/>
        </w:rPr>
        <w:t xml:space="preserve">0.025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固定基线：</w:t>
      </w:r>
      <w:r>
        <w:rPr>
          <w:rStyle w:val="VerbatimChar"/>
        </w:rPr>
        <w:t xml:space="preserve">N=120</w:t>
      </w:r>
      <w:r>
        <w:t xml:space="preserve">，每场景 24 个 seed，</w:t>
      </w:r>
      <w:r>
        <w:rPr>
          <w:rStyle w:val="VerbatimChar"/>
        </w:rPr>
        <w:t xml:space="preserve">max_periods=240</w:t>
      </w:r>
      <w:r>
        <w:t xml:space="preserve">，</w:t>
      </w:r>
      <w:r>
        <w:rPr>
          <w:rStyle w:val="VerbatimChar"/>
        </w:rPr>
        <w:t xml:space="preserve">mean_initial_money=20</w:t>
      </w:r>
      <w:r>
        <w:t xml:space="preserve">，</w:t>
      </w:r>
      <w:r>
        <w:rPr>
          <w:rStyle w:val="VerbatimChar"/>
        </w:rPr>
        <w:t xml:space="preserve">initial_income_per_capita=5</w:t>
      </w:r>
      <w:r>
        <w:t xml:space="preserve">，大级联阈值</w:t>
      </w:r>
      <w:r>
        <w:t xml:space="preserve"> </w:t>
      </w:r>
      <w:r>
        <w:rPr>
          <w:rStyle w:val="VerbatimChar"/>
        </w:rPr>
        <w:t xml:space="preserve">10%N</w:t>
      </w:r>
      <w:r>
        <w:t xml:space="preserve">，</w:t>
      </w:r>
      <w:r>
        <w:rPr>
          <w:rStyle w:val="VerbatimChar"/>
        </w:rPr>
        <w:t xml:space="preserve">continue_after_avalanche</w:t>
      </w:r>
      <w:r>
        <w:t xml:space="preserve">，</w:t>
      </w:r>
      <w:r>
        <w:rPr>
          <w:rStyle w:val="VerbatimChar"/>
        </w:rPr>
        <w:t xml:space="preserve">period_end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规模：100 个场景、2400 个 run、441278 个 avalanche/event。</w:t>
      </w:r>
    </w:p>
    <w:p>
      <w:pPr>
        <w:pStyle w:val="FirstParagraph"/>
      </w:pPr>
      <w:r>
        <w:t xml:space="preserve">第二阶段窄带复核：</w:t>
      </w:r>
    </w:p>
    <w:p>
      <w:pPr>
        <w:numPr>
          <w:ilvl w:val="0"/>
          <w:numId w:val="1002"/>
        </w:numPr>
        <w:pStyle w:val="Compact"/>
      </w:pPr>
      <w:r>
        <w:t xml:space="preserve">目录：</w:t>
      </w:r>
      <w:r>
        <w:rPr>
          <w:rStyle w:val="VerbatimChar"/>
        </w:rPr>
        <w:t xml:space="preserve">results/credit_soc_period_critical_stage2_20260609_v1/merged_exact_c</w:t>
      </w:r>
    </w:p>
    <w:p>
      <w:pPr>
        <w:numPr>
          <w:ilvl w:val="0"/>
          <w:numId w:val="1002"/>
        </w:numPr>
        <w:pStyle w:val="Compact"/>
      </w:pPr>
      <w:r>
        <w:t xml:space="preserve">分析：</w:t>
      </w:r>
      <w:r>
        <w:rPr>
          <w:rStyle w:val="VerbatimChar"/>
        </w:rPr>
        <w:t xml:space="preserve">results/credit_soc_period_critical_stage2_exact_analysis_20260609_v1</w:t>
      </w:r>
    </w:p>
    <w:p>
      <w:pPr>
        <w:numPr>
          <w:ilvl w:val="0"/>
          <w:numId w:val="1002"/>
        </w:numPr>
        <w:pStyle w:val="Compact"/>
      </w:pPr>
      <w:r>
        <w:t xml:space="preserve">目标带 1：</w:t>
      </w:r>
      <w:r>
        <w:rPr>
          <w:rStyle w:val="VerbatimChar"/>
        </w:rPr>
        <w:t xml:space="preserve">high_both=(a=0.04,b=0.40)</w:t>
      </w:r>
      <w:r>
        <w:t xml:space="preserve">，</w:t>
      </w:r>
      <w:r>
        <w:rPr>
          <w:rStyle w:val="VerbatimChar"/>
        </w:rPr>
        <w:t xml:space="preserve">c=0.450..0.600</w:t>
      </w:r>
      <w:r>
        <w:t xml:space="preserve">，步长</w:t>
      </w:r>
      <w:r>
        <w:t xml:space="preserve"> </w:t>
      </w:r>
      <w:r>
        <w:rPr>
          <w:rStyle w:val="VerbatimChar"/>
        </w:rPr>
        <w:t xml:space="preserve">0.005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目标带 2：</w:t>
      </w:r>
      <w:r>
        <w:rPr>
          <w:rStyle w:val="VerbatimChar"/>
        </w:rPr>
        <w:t xml:space="preserve">high_wealth=(a=0.04,b=0.20)</w:t>
      </w:r>
      <w:r>
        <w:t xml:space="preserve">，</w:t>
      </w:r>
      <w:r>
        <w:rPr>
          <w:rStyle w:val="VerbatimChar"/>
        </w:rPr>
        <w:t xml:space="preserve">c=0.675..0.800</w:t>
      </w:r>
      <w:r>
        <w:t xml:space="preserve">，步长</w:t>
      </w:r>
      <w:r>
        <w:t xml:space="preserve"> </w:t>
      </w:r>
      <w:r>
        <w:rPr>
          <w:rStyle w:val="VerbatimChar"/>
        </w:rPr>
        <w:t xml:space="preserve">0.005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固定机制：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收入、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增长、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拓扑，本金分布为</w:t>
      </w:r>
      <w:r>
        <w:t xml:space="preserve"> </w:t>
      </w:r>
      <w:r>
        <w:rPr>
          <w:rStyle w:val="VerbatimChar"/>
        </w:rPr>
        <w:t xml:space="preserve">equal/normal/pareto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固定基线：同第一阶段。</w:t>
      </w:r>
    </w:p>
    <w:p>
      <w:pPr>
        <w:numPr>
          <w:ilvl w:val="0"/>
          <w:numId w:val="1002"/>
        </w:numPr>
        <w:pStyle w:val="Compact"/>
      </w:pPr>
      <w:r>
        <w:t xml:space="preserve">规模：171 个精确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场景、4104 个 run、555638 个 avalanche/event。</w:t>
      </w:r>
    </w:p>
    <w:p>
      <w:pPr>
        <w:pStyle w:val="FirstParagraph"/>
      </w:pPr>
      <w:r>
        <w:t xml:space="preserve">第二阶段运行后发现旧版</w:t>
      </w:r>
      <w:r>
        <w:t xml:space="preserve"> </w:t>
      </w:r>
      <w:r>
        <w:rPr>
          <w:rStyle w:val="VerbatimChar"/>
        </w:rPr>
        <w:t xml:space="preserve">run_comprehensive_scenario_scan.py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只保留两位小数，可能把</w:t>
      </w:r>
      <w:r>
        <w:t xml:space="preserve"> </w:t>
      </w:r>
      <w:r>
        <w:rPr>
          <w:rStyle w:val="VerbatimChar"/>
        </w:rPr>
        <w:t xml:space="preserve">0.450/0.455</w:t>
      </w:r>
      <w:r>
        <w:t xml:space="preserve"> </w:t>
      </w:r>
      <w:r>
        <w:t xml:space="preserve">这类细网格点折叠。已用原始</w:t>
      </w:r>
      <w:r>
        <w:t xml:space="preserve"> </w:t>
      </w:r>
      <w:r>
        <w:rPr>
          <w:rStyle w:val="VerbatimChar"/>
        </w:rPr>
        <w:t xml:space="preserve">investment_income_propensity</w:t>
      </w:r>
      <w:r>
        <w:t xml:space="preserve"> </w:t>
      </w:r>
      <w:r>
        <w:t xml:space="preserve">重建三位小数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，并将脚本修正为三位小数。报告只引用</w:t>
      </w:r>
      <w:r>
        <w:t xml:space="preserve"> </w:t>
      </w:r>
      <w:r>
        <w:rPr>
          <w:rStyle w:val="VerbatimChar"/>
        </w:rPr>
        <w:t xml:space="preserve">merged_exact_c</w:t>
      </w:r>
      <w:r>
        <w:t xml:space="preserve"> </w:t>
      </w:r>
      <w:r>
        <w:t xml:space="preserve">结果。</w:t>
      </w:r>
    </w:p>
    <w:bookmarkEnd w:id="21"/>
    <w:bookmarkStart w:id="28" w:name="X4c0ccd1b359b1ac3c5b993236a2b82ceabcd244"/>
    <w:p>
      <w:pPr>
        <w:pStyle w:val="Heading2"/>
        <w:keepNext/>
      </w:pPr>
      <w:r>
        <w:t xml:space="preserve">3. 第一阶段发现</w:t>
      </w:r>
    </w:p>
    <w:p>
      <w:pPr>
        <w:pStyle w:val="FirstParagraph"/>
      </w:pPr>
      <w:r>
        <w:t xml:space="preserve">第一阶段自动快筛出现 18 个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候选，而此前粗网格快筛为 0。这说明中间转变带确实会被粗步长漏掉。</w:t>
      </w:r>
    </w:p>
    <w:p>
      <w:pPr>
        <w:pStyle w:val="BodyText"/>
      </w:pPr>
      <w:r>
        <w:drawing>
          <wp:inline>
            <wp:extent cx="5334000" cy="1420330"/>
            <wp:effectExtent b="0" l="0" r="0" t="0"/>
            <wp:docPr descr="第一阶段 SOC 快筛相图" title="" id="23" name="Picture"/>
            <a:graphic>
              <a:graphicData uri="http://schemas.openxmlformats.org/drawingml/2006/picture">
                <pic:pic>
                  <pic:nvPicPr>
                    <pic:cNvPr descr="../results/credit_soc_period_critical_refined_analysis_20260609_v1/global_soc_screen_phase_ma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18666"/>
            <wp:effectExtent b="0" l="0" r="0" t="0"/>
            <wp:docPr descr="第一阶段候选 CCDF" title="" id="26" name="Picture"/>
            <a:graphic>
              <a:graphicData uri="http://schemas.openxmlformats.org/drawingml/2006/picture">
                <pic:pic>
                  <pic:nvPicPr>
                    <pic:cNvPr descr="../results/credit_soc_period_critical_refined_analysis_20260609_v1/top_candidate_ccdf_gri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但第一阶段候选混有两类场景：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biased</w:t>
      </w:r>
      <w:r>
        <w:t xml:space="preserve"> </w:t>
      </w:r>
      <w:r>
        <w:t xml:space="preserve">收入、高支出场景：大事件率高，但 event occupancy 往往接近过载区，仍有持续失败风险。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uniform</w:t>
      </w:r>
      <w:r>
        <w:t xml:space="preserve"> </w:t>
      </w:r>
      <w:r>
        <w:t xml:space="preserve">收入、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拓扑、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增长场景：大事件率较低，但传播新增占比高，事件分布更接近非饱和候选。</w:t>
      </w:r>
    </w:p>
    <w:p>
      <w:pPr>
        <w:pStyle w:val="FirstParagraph"/>
      </w:pPr>
      <w:r>
        <w:t xml:space="preserve">因此第二阶段只聚焦后一类非饱和候选族。</w:t>
      </w:r>
    </w:p>
    <w:bookmarkEnd w:id="28"/>
    <w:bookmarkStart w:id="38" w:name="X2cb90e4452ff69be8fd0f74586a4a255dcd207c"/>
    <w:p>
      <w:pPr>
        <w:pStyle w:val="Heading2"/>
        <w:keepNext/>
      </w:pPr>
      <w:r>
        <w:t xml:space="preserve">4. 第二阶段候选带</w:t>
      </w:r>
    </w:p>
    <w:p>
      <w:pPr>
        <w:pStyle w:val="FirstParagraph"/>
      </w:pPr>
      <w:r>
        <w:t xml:space="preserve">第二阶段精确分析的自动快筛候选数为 74，其中 3 个点达到 6/6 分。</w:t>
      </w:r>
    </w:p>
    <w:p>
      <w:pPr>
        <w:pStyle w:val="BodyText"/>
      </w:pPr>
      <w:r>
        <w:drawing>
          <wp:inline>
            <wp:extent cx="5334000" cy="621135"/>
            <wp:effectExtent b="0" l="0" r="0" t="0"/>
            <wp:docPr descr="第二阶段 SOC 快筛相图" title="" id="30" name="Picture"/>
            <a:graphic>
              <a:graphicData uri="http://schemas.openxmlformats.org/drawingml/2006/picture">
                <pic:pic>
                  <pic:nvPicPr>
                    <pic:cNvPr descr="../results/credit_soc_period_critical_stage2_exact_analysis_20260609_v1/global_soc_screen_phase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第二阶段 c-CCDF" title="" id="33" name="Picture"/>
            <a:graphic>
              <a:graphicData uri="http://schemas.openxmlformats.org/drawingml/2006/picture">
                <pic:pic>
                  <pic:nvPicPr>
                    <pic:cNvPr descr="../results/credit_soc_period_critical_stage2_exact_analysis_20260609_v1/ccdf_by_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18666"/>
            <wp:effectExtent b="0" l="0" r="0" t="0"/>
            <wp:docPr descr="第二阶段候选 CCDF" title="" id="36" name="Picture"/>
            <a:graphic>
              <a:graphicData uri="http://schemas.openxmlformats.org/drawingml/2006/picture">
                <pic:pic>
                  <pic:nvPicPr>
                    <pic:cNvPr descr="../results/credit_soc_period_critical_stage2_exact_analysis_20260609_v1/top_candidate_ccdf_gri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最高分候选如下：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 occupancy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大事件率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平均事件规模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最大规模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传播新增占比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bootstrap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bounded 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0.2857</w:t>
            </w:r>
          </w:p>
        </w:tc>
      </w:tr>
    </w:tbl>
    <w:p>
      <w:pPr>
        <w:pStyle w:val="BodyText"/>
      </w:pPr>
      <w:r>
        <w:t xml:space="preserve">这些点周围存在连续候选带，而非单点偶然：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high_both</w:t>
      </w:r>
      <w:r>
        <w:t xml:space="preserve">：</w:t>
      </w:r>
      <w:r>
        <w:rPr>
          <w:rStyle w:val="VerbatimChar"/>
        </w:rPr>
        <w:t xml:space="preserve">c≈0.56..0.59</w:t>
      </w:r>
      <w:r>
        <w:t xml:space="preserve">，</w:t>
      </w:r>
      <w:r>
        <w:rPr>
          <w:rStyle w:val="VerbatimChar"/>
        </w:rPr>
        <w:t xml:space="preserve">equal/normal/pareto</w:t>
      </w:r>
      <w:r>
        <w:t xml:space="preserve"> </w:t>
      </w:r>
      <w:r>
        <w:t xml:space="preserve">本金下均出现非饱和候选。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high_wealth</w:t>
      </w:r>
      <w:r>
        <w:t xml:space="preserve">：</w:t>
      </w:r>
      <w:r>
        <w:rPr>
          <w:rStyle w:val="VerbatimChar"/>
        </w:rPr>
        <w:t xml:space="preserve">c≈0.74..0.78</w:t>
      </w:r>
      <w:r>
        <w:t xml:space="preserve">，</w:t>
      </w:r>
      <w:r>
        <w:rPr>
          <w:rStyle w:val="VerbatimChar"/>
        </w:rPr>
        <w:t xml:space="preserve">equal/normal/pareto</w:t>
      </w:r>
      <w:r>
        <w:t xml:space="preserve"> </w:t>
      </w:r>
      <w:r>
        <w:t xml:space="preserve">本金下均出现非饱和候选。</w:t>
      </w:r>
    </w:p>
    <w:bookmarkEnd w:id="38"/>
    <w:bookmarkStart w:id="39" w:name="X0934c7d29c4daea270980d5f977c604911e9b36"/>
    <w:p>
      <w:pPr>
        <w:pStyle w:val="Heading2"/>
        <w:keepNext/>
      </w:pPr>
      <w:r>
        <w:t xml:space="preserve">5. 判定</w:t>
      </w:r>
    </w:p>
    <w:p>
      <w:pPr>
        <w:pStyle w:val="FirstParagraph"/>
      </w:pPr>
      <w:r>
        <w:t xml:space="preserve">可以说：本轮在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粒度下找到了临界候选带。它们具有以下特征：</w:t>
      </w:r>
    </w:p>
    <w:p>
      <w:pPr>
        <w:numPr>
          <w:ilvl w:val="0"/>
          <w:numId w:val="1005"/>
        </w:numPr>
        <w:pStyle w:val="Compact"/>
      </w:pPr>
      <w:r>
        <w:t xml:space="preserve">event occupancy 尚未达到持续失败区，约为</w:t>
      </w:r>
      <w:r>
        <w:t xml:space="preserve"> </w:t>
      </w:r>
      <w:r>
        <w:rPr>
          <w:rStyle w:val="VerbatimChar"/>
        </w:rPr>
        <w:t xml:space="preserve">0.56..0.80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大事件率约为</w:t>
      </w:r>
      <w:r>
        <w:t xml:space="preserve"> </w:t>
      </w:r>
      <w:r>
        <w:rPr>
          <w:rStyle w:val="VerbatimChar"/>
        </w:rPr>
        <w:t xml:space="preserve">0.01..0.03</w:t>
      </w:r>
      <w:r>
        <w:t xml:space="preserve">，不是每期都大崩塌。</w:t>
      </w:r>
    </w:p>
    <w:p>
      <w:pPr>
        <w:numPr>
          <w:ilvl w:val="0"/>
          <w:numId w:val="1005"/>
        </w:numPr>
        <w:pStyle w:val="Compact"/>
      </w:pPr>
      <w:r>
        <w:t xml:space="preserve">传播新增违约占比较高，约为</w:t>
      </w:r>
      <w:r>
        <w:t xml:space="preserve"> </w:t>
      </w:r>
      <w:r>
        <w:rPr>
          <w:rStyle w:val="VerbatimChar"/>
        </w:rPr>
        <w:t xml:space="preserve">0.40..0.45</w:t>
      </w:r>
      <w:r>
        <w:t xml:space="preserve">，说明不是纯同步初始违约。</w:t>
      </w:r>
    </w:p>
    <w:p>
      <w:pPr>
        <w:numPr>
          <w:ilvl w:val="0"/>
          <w:numId w:val="1005"/>
        </w:numPr>
        <w:pStyle w:val="Compact"/>
      </w:pPr>
      <w:r>
        <w:t xml:space="preserve">尾部拟合没有被指数或 lognormal 显著压倒，部分点 bootstrap p 较高。</w:t>
      </w:r>
    </w:p>
    <w:p>
      <w:pPr>
        <w:pStyle w:val="FirstParagraph"/>
      </w:pPr>
      <w:r>
        <w:t xml:space="preserve">但不能说：严格 SOC 已经被证明。主要限制是：</w:t>
      </w:r>
    </w:p>
    <w:p>
      <w:pPr>
        <w:numPr>
          <w:ilvl w:val="0"/>
          <w:numId w:val="1006"/>
        </w:numPr>
        <w:pStyle w:val="Compact"/>
      </w:pPr>
      <w:r>
        <w:t xml:space="preserve">这些点仍需要外部参数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的窄带调节，更像调参临界带，而不是无调参自组织临界。</w:t>
      </w:r>
    </w:p>
    <w:p>
      <w:pPr>
        <w:numPr>
          <w:ilvl w:val="0"/>
          <w:numId w:val="1006"/>
        </w:numPr>
        <w:pStyle w:val="Compact"/>
      </w:pPr>
      <w:r>
        <w:t xml:space="preserve">event occupancy 已接近</w:t>
      </w:r>
      <w:r>
        <w:t xml:space="preserve"> </w:t>
      </w:r>
      <w:r>
        <w:rPr>
          <w:rStyle w:val="VerbatimChar"/>
        </w:rPr>
        <w:t xml:space="preserve">0.8</w:t>
      </w:r>
      <w:r>
        <w:t xml:space="preserve">，临界带上沿离持续失败区很近。</w:t>
      </w:r>
    </w:p>
    <w:p>
      <w:pPr>
        <w:numPr>
          <w:ilvl w:val="0"/>
          <w:numId w:val="1006"/>
        </w:numPr>
        <w:pStyle w:val="Compact"/>
      </w:pPr>
      <w:r>
        <w:t xml:space="preserve">拟合 alpha 较高，尾部衰减较陡；最大事件规模仍为</w:t>
      </w:r>
      <w:r>
        <w:t xml:space="preserve"> </w:t>
      </w:r>
      <w:r>
        <w:rPr>
          <w:rStyle w:val="VerbatimChar"/>
        </w:rPr>
        <w:t xml:space="preserve">25..33/120</w:t>
      </w:r>
      <w:r>
        <w:t xml:space="preserve">，尚未展示真正跨尺度幂律。</w:t>
      </w:r>
    </w:p>
    <w:p>
      <w:pPr>
        <w:numPr>
          <w:ilvl w:val="0"/>
          <w:numId w:val="1006"/>
        </w:numPr>
        <w:pStyle w:val="Compact"/>
      </w:pPr>
      <w:r>
        <w:t xml:space="preserve">尚未做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扩展、截止尺度随系统尺寸变化、长时平稳性和机制消融。</w:t>
      </w:r>
    </w:p>
    <w:p>
      <w:pPr>
        <w:pStyle w:val="FirstParagraph"/>
      </w:pPr>
      <w:r>
        <w:t xml:space="preserve">因此，本轮结论应写为：</w:t>
      </w:r>
      <w:r>
        <w:rPr>
          <w:bCs/>
          <w:b/>
        </w:rPr>
        <w:t xml:space="preserve">period 粒度下存在值得继续验证的 SOC 候选临界带；当前证据支持“调参临界候选/过载边界附近重尾”，但尚不足以提升为严格 SOC。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29" Type="http://schemas.openxmlformats.org/officeDocument/2006/relationships/image" Target="media/rId29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2026-06-09T09:40:32Z</dcterms:created>
  <dcterms:modified xsi:type="dcterms:W3CDTF">2026-06-09T09:40:32Z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