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信贷网络自组织临界完整实验报告-v1"/>
    <w:p>
      <w:pPr>
        <w:pStyle w:val="Heading1"/>
        <w:ind w:left="0" w:right="0" w:firstLine="0"/>
      </w:pPr>
      <w:r>
        <w:t xml:space="preserve">信贷网络自组织临界完整实验报告 v1</w:t>
      </w:r>
    </w:p>
    <w:p>
      <w:pPr>
        <w:pStyle w:val="FirstParagraph"/>
      </w:pPr>
      <w:r>
        <w:t xml:space="preserve">生成时间：2026-06-09 16:13 CST</w:t>
      </w:r>
    </w:p>
    <w:bookmarkStart w:id="21" w:name="报告定位"/>
    <w:p>
      <w:pPr>
        <w:pStyle w:val="Heading2"/>
        <w:ind w:left="0" w:right="0" w:firstLine="0"/>
      </w:pPr>
      <w:r>
        <w:t xml:space="preserve">1. 报告定位</w:t>
      </w:r>
    </w:p>
    <w:p>
      <w:pPr>
        <w:pStyle w:val="FirstParagraph"/>
      </w:pPr>
      <w:r>
        <w:t xml:space="preserve">本报告基于</w:t>
      </w:r>
      <w:r>
        <w:t xml:space="preserve"> </w:t>
      </w:r>
      <w:hyperlink r:id="rId20">
        <w:r>
          <w:rPr>
            <w:rStyle w:val="VerbatimChar"/>
          </w:rPr>
          <w:t xml:space="preserve">project.md</w:t>
        </w:r>
      </w:hyperlink>
      <w:r>
        <w:t xml:space="preserve"> </w:t>
      </w:r>
      <w:r>
        <w:t xml:space="preserve">的模型框架，整合当前已经完成的两条主实验线：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period_end</w:t>
      </w:r>
      <w:r>
        <w:t xml:space="preserve"> </w:t>
      </w:r>
      <w:r>
        <w:t xml:space="preserve">完备场景扫描：在期末统一做流量结算、违约检查和级联清算。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timestep_settle_check</w:t>
      </w:r>
      <w:r>
        <w:t xml:space="preserve"> </w:t>
      </w:r>
      <w:r>
        <w:t xml:space="preserve">对照扫描：在每个 credit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后立即做缩放微结算、违约检查和级联清算。</w:t>
      </w:r>
    </w:p>
    <w:p>
      <w:pPr>
        <w:pStyle w:val="FirstParagraph"/>
      </w:pPr>
      <w:r>
        <w:t xml:space="preserve">报告目标不是只列出扫描变量，而是把模型机制、固定参数基线、扫描轴、级联失效相图、SOC 判定、timestep 对照和动画可视化统一放在一个完整实验叙述中。</w:t>
      </w:r>
    </w:p>
    <w:p>
      <w:pPr>
        <w:pStyle w:val="BodyText"/>
      </w:pPr>
      <w:r>
        <w:t xml:space="preserve">核心结论是：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period_end</w:t>
      </w:r>
      <w:r>
        <w:t xml:space="preserve"> </w:t>
      </w:r>
      <w:r>
        <w:t xml:space="preserve">粒度下，系统存在清楚的级联失效过载相图；高</w:t>
      </w:r>
      <w:r>
        <w:t xml:space="preserve"> </w:t>
      </w:r>
      <w:r>
        <w:rPr>
          <w:rStyle w:val="VerbatimChar"/>
        </w:rPr>
        <w:t xml:space="preserve">c</w:t>
      </w:r>
      <w:r>
        <w:t xml:space="preserve">、高支出、biased 收入和部分高连接/异质拓扑会显著放大级联。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timestep</w:t>
      </w:r>
      <w:r>
        <w:t xml:space="preserve"> </w:t>
      </w:r>
      <w:r>
        <w:t xml:space="preserve">粒度下，原先的期末大崩塌被切碎为高频、小规模 avalanche；出现小尺度重尾/近幂律样貌，但没有达到</w:t>
      </w:r>
      <w:r>
        <w:t xml:space="preserve"> </w:t>
      </w:r>
      <w:r>
        <w:rPr>
          <w:rStyle w:val="VerbatimChar"/>
        </w:rPr>
        <w:t xml:space="preserve">10%N</w:t>
      </w:r>
      <w:r>
        <w:t xml:space="preserve"> </w:t>
      </w:r>
      <w:r>
        <w:t xml:space="preserve">的大级联。</w:t>
      </w:r>
    </w:p>
    <w:p>
      <w:pPr>
        <w:numPr>
          <w:ilvl w:val="0"/>
          <w:numId w:val="1002"/>
        </w:numPr>
        <w:pStyle w:val="Compact"/>
      </w:pPr>
      <w:r>
        <w:t xml:space="preserve">当前证据支持“级联失效/过载转变”和“机制敏感的小尺度重尾”，但不支持严格自组织临界（SOC）。</w:t>
      </w:r>
    </w:p>
    <w:bookmarkEnd w:id="21"/>
    <w:bookmarkStart w:id="22" w:name="模型框架"/>
    <w:p>
      <w:pPr>
        <w:pStyle w:val="Heading2"/>
        <w:ind w:left="0" w:right="0" w:firstLine="0"/>
      </w:pPr>
      <w:r>
        <w:t xml:space="preserve">2. 模型框架</w:t>
      </w:r>
    </w:p>
    <w:p>
      <w:pPr>
        <w:pStyle w:val="FirstParagraph"/>
      </w:pPr>
      <w:r>
        <w:t xml:space="preserve">系统是一个由个体组成的带权有向信贷暴露网络。每个主体有现金、贷款资产、债务负债和净资产：</w:t>
      </w:r>
    </w:p>
    <w:p>
      <w:pPr>
        <w:pStyle w:val="SourceCode"/>
      </w:pPr>
      <w:r>
        <w:rPr>
          <w:rStyle w:val="VerbatimChar"/>
        </w:rPr>
        <w:t xml:space="preserve">W_i = cash_i + loan_assets_i - debt_liabilities_i</w:t>
      </w:r>
    </w:p>
    <w:p>
      <w:pPr>
        <w:pStyle w:val="FirstParagraph"/>
      </w:pPr>
      <w:r>
        <w:t xml:space="preserve">每个成功 credit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新增 1 单位有向信贷暴露。若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向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贷款 1 单位，则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的现金减少 1、贷款资产增加 1；</w:t>
      </w:r>
      <w:r>
        <w:rPr>
          <w:rStyle w:val="VerbatimChar"/>
        </w:rPr>
        <w:t xml:space="preserve">j</w:t>
      </w:r>
      <w:r>
        <w:t xml:space="preserve"> </w:t>
      </w:r>
      <w:r>
        <w:t xml:space="preserve">的现金增加 1、债务负债增加 1。信贷建立本身保持双方净资产不变，违约主要来自后续支出、收入分配和清算减记。</w:t>
      </w:r>
    </w:p>
    <w:p>
      <w:pPr>
        <w:pStyle w:val="BodyText"/>
      </w:pPr>
      <w:r>
        <w:t xml:space="preserve">宏观期长度由收入内生决定：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是上一期总收入到下一期计划信贷尝试数的转换系数，不是单笔贷款规模，也不是实际投资支出比例。每个成功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的单位信贷规模始终为 1。</w:t>
      </w:r>
    </w:p>
    <w:p>
      <w:pPr>
        <w:pStyle w:val="BodyText"/>
      </w:pPr>
      <w:r>
        <w:t xml:space="preserve">违约阈值为严格负净资产：</w:t>
      </w:r>
    </w:p>
    <w:p>
      <w:pPr>
        <w:pStyle w:val="SourceCode"/>
      </w:pPr>
      <w:r>
        <w:rPr>
          <w:rStyle w:val="VerbatimChar"/>
        </w:rPr>
        <w:t xml:space="preserve">default_i = 1(W_i &lt; 0)</w:t>
      </w:r>
    </w:p>
    <w:p>
      <w:pPr>
        <w:pStyle w:val="FirstParagraph"/>
      </w:pPr>
      <w:r>
        <w:t xml:space="preserve">一次 avalanche 的规模定义为本次清算中被处理的不同违约节点数：</w:t>
      </w:r>
    </w:p>
    <w:p>
      <w:pPr>
        <w:pStyle w:val="SourceCode"/>
      </w:pPr>
      <w:r>
        <w:rPr>
          <w:rStyle w:val="VerbatimChar"/>
        </w:rPr>
        <w:t xml:space="preserve">collapse_size = initial_default_count + propagated_default_count</w:t>
      </w:r>
      <w:r>
        <w:br/>
      </w:r>
      <w:r>
        <w:rPr>
          <w:rStyle w:val="VerbatimChar"/>
        </w:rPr>
        <w:t xml:space="preserve">collapse_fraction = collapse_size / N</w:t>
      </w:r>
      <w:r>
        <w:br/>
      </w:r>
      <w:r>
        <w:rPr>
          <w:rStyle w:val="VerbatimChar"/>
        </w:rPr>
        <w:t xml:space="preserve">critical_event = 1(collapse_fraction &gt;= 0.10)</w:t>
      </w:r>
    </w:p>
    <w:p>
      <w:pPr>
        <w:pStyle w:val="FirstParagraph"/>
      </w:pPr>
      <w:r>
        <w:rPr>
          <w:rStyle w:val="VerbatimChar"/>
        </w:rPr>
        <w:t xml:space="preserve">critical_event</w:t>
      </w:r>
      <w:r>
        <w:t xml:space="preserve"> </w:t>
      </w:r>
      <w:r>
        <w:t xml:space="preserve">只是人工大级联标签，不是严格临界或 SOC 证明。</w:t>
      </w:r>
    </w:p>
    <w:bookmarkEnd w:id="22"/>
    <w:bookmarkStart w:id="23" w:name="拓扑口径"/>
    <w:p>
      <w:pPr>
        <w:pStyle w:val="Heading2"/>
        <w:ind w:left="0" w:right="0" w:firstLine="0"/>
      </w:pPr>
      <w:r>
        <w:t xml:space="preserve">3. 拓扑口径</w:t>
      </w:r>
    </w:p>
    <w:p>
      <w:pPr>
        <w:pStyle w:val="FirstParagraph"/>
      </w:pPr>
      <w:r>
        <w:t xml:space="preserve">显式拓扑变量</w:t>
      </w:r>
      <w:r>
        <w:t xml:space="preserve"> </w:t>
      </w:r>
      <w:r>
        <w:rPr>
          <w:rStyle w:val="VerbatimChar"/>
        </w:rPr>
        <w:t xml:space="preserve">er/ba/sw</w:t>
      </w:r>
      <w:r>
        <w:t xml:space="preserve"> </w:t>
      </w:r>
      <w:r>
        <w:t xml:space="preserve">表示交易机会图，不表示初始化时已经存在的信贷暴露网络。</w:t>
      </w:r>
    </w:p>
    <w:p>
      <w:pPr>
        <w:numPr>
          <w:ilvl w:val="0"/>
          <w:numId w:val="1003"/>
        </w:numPr>
        <w:pStyle w:val="Compact"/>
      </w:pPr>
      <w:r>
        <w:t xml:space="preserve">初始化时，实际信贷暴露矩阵为空。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er/ba/sw</w:t>
      </w:r>
      <w:r>
        <w:t xml:space="preserve"> </w:t>
      </w:r>
      <w:r>
        <w:t xml:space="preserve">先生成一张无向“允许交易机会图”。</w:t>
      </w:r>
    </w:p>
    <w:p>
      <w:pPr>
        <w:numPr>
          <w:ilvl w:val="0"/>
          <w:numId w:val="1003"/>
        </w:numPr>
        <w:pStyle w:val="Compact"/>
      </w:pPr>
      <w:r>
        <w:t xml:space="preserve">后续每个 credit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新增信贷时，只能在机会图允许的节点对之间发生。</w:t>
      </w:r>
    </w:p>
    <w:p>
      <w:pPr>
        <w:numPr>
          <w:ilvl w:val="0"/>
          <w:numId w:val="1003"/>
        </w:numPr>
        <w:pStyle w:val="Compact"/>
      </w:pPr>
      <w:r>
        <w:t xml:space="preserve">实际信贷暴露是有向、带权、可重复累积的；方向由当次贷款人与借款人决定。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表示不施加额外机会边界，任意两主体都可成为候选对手方。</w:t>
      </w:r>
    </w:p>
    <w:p>
      <w:pPr>
        <w:pStyle w:val="FirstParagraph"/>
      </w:pPr>
      <w:r>
        <w:t xml:space="preserve">因此，拓扑实验考察的是“谁可以和谁发生后续信贷关系”的机会边界，而不是给定一张静态信贷网络让它直接失效。</w:t>
      </w:r>
    </w:p>
    <w:bookmarkEnd w:id="23"/>
    <w:bookmarkStart w:id="26" w:name="实验设计"/>
    <w:p>
      <w:pPr>
        <w:pStyle w:val="Heading2"/>
        <w:ind w:left="0" w:right="0" w:firstLine="0"/>
      </w:pPr>
      <w:r>
        <w:t xml:space="preserve">4. 实验设计</w:t>
      </w:r>
    </w:p>
    <w:bookmarkStart w:id="24" w:name="扫描轴"/>
    <w:p>
      <w:pPr>
        <w:pStyle w:val="Heading3"/>
        <w:ind w:left="0" w:right="0" w:firstLine="0"/>
      </w:pPr>
      <w:r>
        <w:t xml:space="preserve">4.1 扫描轴</w:t>
      </w:r>
    </w:p>
    <w:p>
      <w:pPr>
        <w:pStyle w:val="FirstParagraph"/>
      </w:pPr>
      <w:r>
        <w:t xml:space="preserve">两轮主扫描使用相同的场景轴：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0.10, 0.20, 0.30, 0.40, 0.50, 0.60, 0.70, 0.80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初始本金分布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equal, uniform, normal, lognormal, pareto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收入分配规则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uniform, biased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信贷增长规则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random, preferential_debt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支出机制</w:t>
            </w:r>
            <w:r>
              <w:t xml:space="preserve"> </w:t>
            </w:r>
            <w:r>
              <w:rPr>
                <w:rStyle w:val="VerbatimChar"/>
              </w:rPr>
              <w:t xml:space="preserve">(a,b)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low=(0.01,0.10)</w:t>
            </w:r>
            <w:r>
              <w:t xml:space="preserve">、</w:t>
            </w:r>
            <w:r>
              <w:rPr>
                <w:rStyle w:val="VerbatimChar"/>
              </w:rPr>
              <w:t xml:space="preserve">baseline=(0.02,0.20)</w:t>
            </w:r>
            <w:r>
              <w:t xml:space="preserve">、</w:t>
            </w:r>
            <w:r>
              <w:rPr>
                <w:rStyle w:val="VerbatimChar"/>
              </w:rPr>
              <w:t xml:space="preserve">high_income=(0.02,0.40)</w:t>
            </w:r>
            <w:r>
              <w:t xml:space="preserve">、</w:t>
            </w:r>
            <w:r>
              <w:rPr>
                <w:rStyle w:val="VerbatimChar"/>
              </w:rPr>
              <w:t xml:space="preserve">high_wealth=(0.04,0.20)</w:t>
            </w:r>
            <w:r>
              <w:t xml:space="preserve">、</w:t>
            </w:r>
            <w:r>
              <w:rPr>
                <w:rStyle w:val="VerbatimChar"/>
              </w:rPr>
              <w:t xml:space="preserve">high_both=(0.04,0.40)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交易机会拓扑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  <w:r>
              <w:t xml:space="preserve">；</w:t>
            </w:r>
            <w:r>
              <w:rPr>
                <w:rStyle w:val="VerbatimChar"/>
              </w:rPr>
              <w:t xml:space="preserve">er/ba/sw</w:t>
            </w:r>
            <w:r>
              <w:t xml:space="preserve"> </w:t>
            </w:r>
            <w:r>
              <w:t xml:space="preserve">的目标平均度</w:t>
            </w:r>
            <w:r>
              <w:t xml:space="preserve"> </w:t>
            </w:r>
            <w:r>
              <w:rPr>
                <w:rStyle w:val="VerbatimChar"/>
              </w:rPr>
              <w:t xml:space="preserve">k=6,12,24</w:t>
            </w:r>
          </w:p>
        </w:tc>
      </w:tr>
    </w:tbl>
    <w:bookmarkEnd w:id="24"/>
    <w:bookmarkStart w:id="25" w:name="固定参数基线"/>
    <w:p>
      <w:pPr>
        <w:pStyle w:val="Heading3"/>
        <w:ind w:left="0" w:right="0" w:firstLine="0"/>
      </w:pPr>
      <w:r>
        <w:t xml:space="preserve">4.2 固定参数基线</w:t>
      </w:r>
    </w:p>
    <w:p>
      <w:pPr>
        <w:pStyle w:val="FirstParagraph"/>
      </w:pPr>
      <w:r>
        <w:rPr>
          <w:rStyle w:val="VerbatimChar"/>
        </w:rPr>
        <w:t xml:space="preserve">period_end</w:t>
      </w:r>
      <w:r>
        <w:t xml:space="preserve"> </w:t>
      </w:r>
      <w:r>
        <w:t xml:space="preserve">完备扫描的固定基线：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固定项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N=120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scenario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个 seed/run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run 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max_periods=120</w:t>
            </w:r>
            <w:r>
              <w:t xml:space="preserve">，</w:t>
            </w:r>
            <w:r>
              <w:rPr>
                <w:rStyle w:val="VerbatimChar"/>
              </w:rPr>
              <w:t xml:space="preserve">max_time_steps=0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初始本金规模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mean_initial_money=20.0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初始参考收入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initial_income_per_capita=5.0</w:t>
            </w:r>
            <w:r>
              <w:t xml:space="preserve">，即</w:t>
            </w:r>
            <w:r>
              <w:t xml:space="preserve"> </w:t>
            </w:r>
            <w:r>
              <w:rPr>
                <w:rStyle w:val="VerbatimChar"/>
              </w:rPr>
              <w:t xml:space="preserve">Y_0=600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K_t=round(c*Y_(t-1))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违约阈值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default_threshold=0.0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大级联阈值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collapse_threshold_fraction=0.10</w:t>
            </w:r>
            <w:r>
              <w:t xml:space="preserve">，即至少 12 个节点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清算与恢复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wipe_defaulted_assets=True</w:t>
            </w:r>
            <w:r>
              <w:t xml:space="preserve">，</w:t>
            </w:r>
            <w:r>
              <w:rPr>
                <w:rStyle w:val="VerbatimChar"/>
              </w:rPr>
              <w:t xml:space="preserve">continue_after_avalanche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检查粒度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会计校验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validate_accounting=True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timestep_settle_check</w:t>
      </w:r>
      <w:r>
        <w:t xml:space="preserve"> </w:t>
      </w:r>
      <w:r>
        <w:t xml:space="preserve">对照扫描的固定基线：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固定项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N=120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scenario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个 seed/run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run 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max_periods=20</w:t>
            </w:r>
            <w:r>
              <w:t xml:space="preserve">，</w:t>
            </w:r>
            <w:r>
              <w:rPr>
                <w:rStyle w:val="VerbatimChar"/>
              </w:rPr>
              <w:t xml:space="preserve">max_time_steps=0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period 微步上限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max_period_length_steps=500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初始本金规模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mean_initial_money=20.0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初始参考收入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initial_income_per_capita=5.0</w:t>
            </w:r>
            <w:r>
              <w:t xml:space="preserve">，即</w:t>
            </w:r>
            <w:r>
              <w:t xml:space="preserve"> </w:t>
            </w:r>
            <w:r>
              <w:rPr>
                <w:rStyle w:val="VerbatimChar"/>
              </w:rPr>
              <w:t xml:space="preserve">Y_0=600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K_t=round(c*Y_(t-1))</w:t>
            </w:r>
            <w:r>
              <w:t xml:space="preserve">，实际执行</w:t>
            </w:r>
            <w:r>
              <w:t xml:space="preserve"> </w:t>
            </w:r>
            <w:r>
              <w:rPr>
                <w:rStyle w:val="VerbatimChar"/>
              </w:rPr>
              <w:t xml:space="preserve">min(K_t,500)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credit</w:t>
            </w:r>
            <w:r>
              <w:t xml:space="preserve"> </w:t>
            </w:r>
            <w:r>
              <w:rPr>
                <w:rStyle w:val="VerbatimChar"/>
              </w:rPr>
              <w:t xml:space="preserve">time_step</w:t>
            </w:r>
            <w:r>
              <w:t xml:space="preserve"> </w:t>
            </w:r>
            <w:r>
              <w:t xml:space="preserve">后按</w:t>
            </w:r>
            <w:r>
              <w:t xml:space="preserve"> </w:t>
            </w:r>
            <w:r>
              <w:rPr>
                <w:rStyle w:val="VerbatimChar"/>
              </w:rPr>
              <w:t xml:space="preserve">1/K_t</w:t>
            </w:r>
            <w:r>
              <w:t xml:space="preserve"> </w:t>
            </w:r>
            <w:r>
              <w:t xml:space="preserve">缩放结算、检查和清算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违约阈值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default_threshold=0.0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大级联阈值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collapse_threshold_fraction=0.10</w:t>
            </w:r>
            <w:r>
              <w:t xml:space="preserve">，即至少 12 个节点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清算与恢复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wipe_defaulted_assets=True</w:t>
            </w:r>
            <w:r>
              <w:t xml:space="preserve">，</w:t>
            </w:r>
            <w:r>
              <w:rPr>
                <w:rStyle w:val="VerbatimChar"/>
              </w:rPr>
              <w:t xml:space="preserve">continue_after_avalanche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检查粒度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timestep_settle_check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会计校验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 v2 为加速设置</w:t>
            </w:r>
            <w:r>
              <w:t xml:space="preserve"> </w:t>
            </w:r>
            <w:r>
              <w:rPr>
                <w:rStyle w:val="VerbatimChar"/>
              </w:rPr>
              <w:t xml:space="preserve">validate_accounting=False</w:t>
            </w:r>
            <w:r>
              <w:t xml:space="preserve">；小样本 smoke test 已校验通过</w:t>
            </w:r>
          </w:p>
        </w:tc>
      </w:tr>
    </w:tbl>
    <w:bookmarkEnd w:id="25"/>
    <w:bookmarkEnd w:id="26"/>
    <w:bookmarkStart w:id="39" w:name="period_end-完备扫描结果"/>
    <w:p>
      <w:pPr>
        <w:pStyle w:val="Heading2"/>
        <w:ind w:left="0" w:right="0" w:firstLine="0"/>
      </w:pPr>
      <w:r>
        <w:t xml:space="preserve">5. period_end 完备扫描结果</w:t>
      </w:r>
    </w:p>
    <w:p>
      <w:pPr>
        <w:pStyle w:val="FirstParagraph"/>
      </w:pPr>
      <w:r>
        <w:t xml:space="preserve">原始扫描目录：</w:t>
      </w:r>
      <w:r>
        <w:rPr>
          <w:rStyle w:val="VerbatimChar"/>
        </w:rPr>
        <w:t xml:space="preserve">results/credit_soc_comprehensive_scan_20260608_v1/</w:t>
      </w:r>
      <w:r>
        <w:br/>
      </w:r>
      <w:r>
        <w:t xml:space="preserve">分析目录：</w:t>
      </w:r>
      <w:r>
        <w:rPr>
          <w:rStyle w:val="VerbatimChar"/>
        </w:rPr>
        <w:t xml:space="preserve">results/credit_soc_comprehensive_scan_analysis_20260608_v1/</w:t>
      </w:r>
    </w:p>
    <w:p>
      <w:pPr>
        <w:pStyle w:val="BodyText"/>
      </w:pPr>
      <w:r>
        <w:t xml:space="preserve">规模：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8000</w:t>
      </w:r>
      <w:r>
        <w:t xml:space="preserve"> </w:t>
      </w:r>
      <w:r>
        <w:t xml:space="preserve">个 scenario；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24000</w:t>
      </w:r>
      <w:r>
        <w:t xml:space="preserve"> </w:t>
      </w:r>
      <w:r>
        <w:t xml:space="preserve">个 run；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1915216</w:t>
      </w:r>
      <w:r>
        <w:t xml:space="preserve"> </w:t>
      </w:r>
      <w:r>
        <w:t xml:space="preserve">个 avalanche 事件。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聚合的相图骨架：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平均大级联率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平均事件规模占比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平均事件占用率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近饱和场景数/1000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</w:tr>
    </w:tbl>
    <w:p>
      <w:pPr>
        <w:pStyle w:val="CaptionedFigure"/>
      </w:pPr>
      <w:r>
        <w:drawing>
          <wp:inline>
            <wp:extent cx="5334000" cy="10307594"/>
            <wp:effectExtent b="0" l="0" r="0" t="0"/>
            <wp:docPr descr="period_end 全局级联相图" title="" id="28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global_cascade_phase_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全局级联相图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period_end 按收入分配" title="" id="31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income_ru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按收入分配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period_end 按支出机制" title="" id="34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spend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按支出机制</w:t>
      </w:r>
    </w:p>
    <w:p>
      <w:pPr>
        <w:pStyle w:val="CaptionedFigure"/>
      </w:pPr>
      <w:r>
        <w:drawing>
          <wp:inline>
            <wp:extent cx="5334000" cy="3387810"/>
            <wp:effectExtent b="0" l="0" r="0" t="0"/>
            <wp:docPr descr="period_end 按拓扑" title="" id="37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topolog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按拓扑</w:t>
      </w:r>
    </w:p>
    <w:p>
      <w:pPr>
        <w:pStyle w:val="BodyText"/>
      </w:pPr>
      <w:r>
        <w:t xml:space="preserve">主要解释：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是最强控制轴。高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同时意味着更多计划信贷尝试和更大的期末批量结算窗口。</w:t>
      </w:r>
    </w:p>
    <w:p>
      <w:pPr>
        <w:numPr>
          <w:ilvl w:val="0"/>
          <w:numId w:val="1005"/>
        </w:numPr>
        <w:pStyle w:val="Compact"/>
      </w:pPr>
      <w:r>
        <w:t xml:space="preserve">biased 收入显著放大级联，因为收入继续向高净资产主体集中，弱主体更容易进入负净资产。</w:t>
      </w:r>
    </w:p>
    <w:p>
      <w:pPr>
        <w:numPr>
          <w:ilvl w:val="0"/>
          <w:numId w:val="1005"/>
        </w:numPr>
        <w:pStyle w:val="Compact"/>
      </w:pPr>
      <w:r>
        <w:t xml:space="preserve">高支出机制提高资产负债表压力，使违约更早、更频繁发生。</w:t>
      </w:r>
    </w:p>
    <w:p>
      <w:pPr>
        <w:numPr>
          <w:ilvl w:val="0"/>
          <w:numId w:val="1005"/>
        </w:numPr>
        <w:pStyle w:val="Compact"/>
      </w:pPr>
      <w:r>
        <w:t xml:space="preserve">拓扑会改变传播路径和风险集中方式，但在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粗粒度批量结算下不是唯一主导因素。</w:t>
      </w:r>
    </w:p>
    <w:p>
      <w:pPr>
        <w:numPr>
          <w:ilvl w:val="0"/>
          <w:numId w:val="1005"/>
        </w:numPr>
        <w:pStyle w:val="Compact"/>
      </w:pPr>
      <w:r>
        <w:t xml:space="preserve">高风险区表现为事件占用率接近 1 的持续过载，不是稀疏、平稳的 SOC avalanche。</w:t>
      </w:r>
    </w:p>
    <w:bookmarkEnd w:id="39"/>
    <w:bookmarkStart w:id="49" w:name="period_end-的-soc-快筛"/>
    <w:p>
      <w:pPr>
        <w:pStyle w:val="Heading2"/>
        <w:ind w:left="0" w:right="0" w:firstLine="0"/>
      </w:pPr>
      <w:r>
        <w:t xml:space="preserve">6. period_end 的 SOC 快筛</w:t>
      </w:r>
    </w:p>
    <w:p>
      <w:pPr>
        <w:pStyle w:val="FirstParagraph"/>
      </w:pPr>
      <w:r>
        <w:t xml:space="preserve">SOC 快筛 gate 情况：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通过场景数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事件数足够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非饱和占用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处于转变区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传播新增占比足够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尾部幂律诊断可接受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替代分布没有更优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 SOC 候选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CaptionedFigure"/>
      </w:pPr>
      <w:r>
        <w:drawing>
          <wp:inline>
            <wp:extent cx="5334000" cy="10307594"/>
            <wp:effectExtent b="0" l="0" r="0" t="0"/>
            <wp:docPr descr="period_end SOC 快筛相图" title="" id="41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global_soc_screen_phase_ma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SOC 快筛相图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period_end 级联规模 CCDF" title="" id="44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级联规模 CCDF</w:t>
      </w:r>
    </w:p>
    <w:p>
      <w:pPr>
        <w:pStyle w:val="CaptionedFigure"/>
      </w:pPr>
      <w:r>
        <w:drawing>
          <wp:inline>
            <wp:extent cx="5334000" cy="5418666"/>
            <wp:effectExtent b="0" l="0" r="0" t="0"/>
            <wp:docPr descr="period_end 高分候选 CCDF" title="" id="47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top_candidate_ccdf_gri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 高分候选 CCDF</w:t>
      </w:r>
    </w:p>
    <w:p>
      <w:pPr>
        <w:pStyle w:val="BodyText"/>
      </w:pPr>
      <w:r>
        <w:t xml:space="preserve">解释：</w:t>
      </w:r>
    </w:p>
    <w:p>
      <w:pPr>
        <w:numPr>
          <w:ilvl w:val="0"/>
          <w:numId w:val="1006"/>
        </w:numPr>
        <w:pStyle w:val="Compact"/>
      </w:pPr>
      <w:r>
        <w:t xml:space="preserve">看到重尾或局部幂律拟合不拒绝，不足以推出 SOC。</w:t>
      </w:r>
    </w:p>
    <w:p>
      <w:pPr>
        <w:numPr>
          <w:ilvl w:val="0"/>
          <w:numId w:val="1006"/>
        </w:numPr>
        <w:pStyle w:val="Compact"/>
      </w:pPr>
      <w:r>
        <w:t xml:space="preserve">许多高风险场景同时存在高占用、重复违约、期末同步初始违约和替代分布更优的问题。</w:t>
      </w:r>
    </w:p>
    <w:p>
      <w:pPr>
        <w:numPr>
          <w:ilvl w:val="0"/>
          <w:numId w:val="1006"/>
        </w:numPr>
        <w:pStyle w:val="Compact"/>
      </w:pPr>
      <w:r>
        <w:t xml:space="preserve">因此，period_end 扫描支持级联失效相图和过载转变，不支持严格 SOC 相图存在稳定临界带。</w:t>
      </w:r>
    </w:p>
    <w:bookmarkEnd w:id="49"/>
    <w:bookmarkStart w:id="59" w:name="timestep-对照结果"/>
    <w:p>
      <w:pPr>
        <w:pStyle w:val="Heading2"/>
        <w:ind w:left="0" w:right="0" w:firstLine="0"/>
      </w:pPr>
      <w:r>
        <w:t xml:space="preserve">7. timestep 对照结果</w:t>
      </w:r>
    </w:p>
    <w:p>
      <w:pPr>
        <w:pStyle w:val="FirstParagraph"/>
      </w:pPr>
      <w:r>
        <w:t xml:space="preserve">扫描目录：</w:t>
      </w:r>
      <w:r>
        <w:rPr>
          <w:rStyle w:val="VerbatimChar"/>
        </w:rPr>
        <w:t xml:space="preserve">results/credit_soc_timestep_scan_20260609_v2/merged/</w:t>
      </w:r>
      <w:r>
        <w:br/>
      </w:r>
      <w:r>
        <w:t xml:space="preserve">分析目录：</w:t>
      </w:r>
      <w:r>
        <w:rPr>
          <w:rStyle w:val="VerbatimChar"/>
        </w:rPr>
        <w:t xml:space="preserve">results/credit_soc_timestep_scan_analysis_20260609_v2/</w:t>
      </w:r>
    </w:p>
    <w:p>
      <w:pPr>
        <w:pStyle w:val="BodyText"/>
      </w:pPr>
      <w:r>
        <w:t xml:space="preserve">规模：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8000</w:t>
      </w:r>
      <w:r>
        <w:t xml:space="preserve"> </w:t>
      </w:r>
      <w:r>
        <w:t xml:space="preserve">个 scenario；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8000</w:t>
      </w:r>
      <w:r>
        <w:t xml:space="preserve"> </w:t>
      </w:r>
      <w:r>
        <w:t xml:space="preserve">个 run；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4539260</w:t>
      </w:r>
      <w:r>
        <w:t xml:space="preserve"> </w:t>
      </w:r>
      <w:r>
        <w:t xml:space="preserve">个 timestep avalanche 事件。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聚合的结果：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平均大级联率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平均事件规模占比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timestep 事件率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period 占用率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平均重复违约占比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0.71677</w:t>
            </w:r>
          </w:p>
        </w:tc>
      </w:tr>
    </w:tbl>
    <w:p>
      <w:pPr>
        <w:pStyle w:val="CaptionedFigure"/>
      </w:pPr>
      <w:r>
        <w:drawing>
          <wp:inline>
            <wp:extent cx="5334000" cy="3657600"/>
            <wp:effectExtent b="0" l="0" r="0" t="0"/>
            <wp:docPr descr="period/timestep 协议对比" title="" id="51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protocol_compare_by_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period/timestep 协议对比</w:t>
      </w:r>
    </w:p>
    <w:p>
      <w:pPr>
        <w:pStyle w:val="CaptionedFigure"/>
      </w:pPr>
      <w:r>
        <w:drawing>
          <wp:inline>
            <wp:extent cx="5334000" cy="2461846"/>
            <wp:effectExtent b="0" l="0" r="0" t="0"/>
            <wp:docPr descr="同场景协议散点对比" title="" id="54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protocol_scenario_scatte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同场景协议散点对比</w:t>
      </w:r>
    </w:p>
    <w:p>
      <w:pPr>
        <w:pStyle w:val="CaptionedFigure"/>
      </w:pPr>
      <w:r>
        <w:drawing>
          <wp:inline>
            <wp:extent cx="5334000" cy="9382554"/>
            <wp:effectExtent b="0" l="0" r="0" t="0"/>
            <wp:docPr descr="timestep 全局级联相图" title="" id="57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global_cascade_phase_ma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 全局级联相图</w:t>
      </w:r>
    </w:p>
    <w:p>
      <w:pPr>
        <w:pStyle w:val="BodyText"/>
      </w:pPr>
      <w:r>
        <w:t xml:space="preserve">主要解释：</w:t>
      </w:r>
    </w:p>
    <w:p>
      <w:pPr>
        <w:numPr>
          <w:ilvl w:val="0"/>
          <w:numId w:val="1008"/>
        </w:numPr>
        <w:pStyle w:val="Compact"/>
      </w:pPr>
      <w:r>
        <w:t xml:space="preserve">timestep 协议下所有场景的大级联率均为 0，最大事件规模为</w:t>
      </w:r>
      <w:r>
        <w:t xml:space="preserve"> </w:t>
      </w:r>
      <w:r>
        <w:rPr>
          <w:rStyle w:val="VerbatimChar"/>
        </w:rPr>
        <w:t xml:space="preserve">10/120=0.0833</w:t>
      </w:r>
      <w:r>
        <w:t xml:space="preserve">，低于 10%N 阈值。</w:t>
      </w:r>
    </w:p>
    <w:p>
      <w:pPr>
        <w:numPr>
          <w:ilvl w:val="0"/>
          <w:numId w:val="1008"/>
        </w:numPr>
        <w:pStyle w:val="Compact"/>
      </w:pPr>
      <w:r>
        <w:t xml:space="preserve">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仍会提高事件频率、period 占用率和重复违约占比，但不再产生 period_end 下的大规模同步崩塌。</w:t>
      </w:r>
    </w:p>
    <w:p>
      <w:pPr>
        <w:numPr>
          <w:ilvl w:val="0"/>
          <w:numId w:val="1008"/>
        </w:numPr>
        <w:pStyle w:val="Compact"/>
      </w:pPr>
      <w:r>
        <w:t xml:space="preserve">这说明 period_end 大崩塌显著依赖期末批量结算窗口。</w:t>
      </w:r>
    </w:p>
    <w:bookmarkEnd w:id="59"/>
    <w:bookmarkStart w:id="69" w:name="timestep-的尾部和-soc-快筛"/>
    <w:p>
      <w:pPr>
        <w:pStyle w:val="Heading2"/>
        <w:ind w:left="0" w:right="0" w:firstLine="0"/>
      </w:pPr>
      <w:r>
        <w:t xml:space="preserve">8. timestep 的尾部和 SOC 快筛</w:t>
      </w:r>
    </w:p>
    <w:p>
      <w:pPr>
        <w:pStyle w:val="FirstParagraph"/>
      </w:pPr>
      <w:r>
        <w:t xml:space="preserve">SOC gate 情况：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通过场景数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事件数足够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非饱和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处于转变区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传播新增占比足够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尾部幂律诊断可接受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替代分布没有更优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规模范围达标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 SOC 候选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CaptionedFigure"/>
      </w:pPr>
      <w:r>
        <w:drawing>
          <wp:inline>
            <wp:extent cx="5334000" cy="9382554"/>
            <wp:effectExtent b="0" l="0" r="0" t="0"/>
            <wp:docPr descr="timestep SOC 快筛相图" title="" id="61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global_soc_screen_phase_map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 SOC 快筛相图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timestep 级联规模 CCDF" title="" id="64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ccdf_by_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 级联规模 CCDF</w:t>
      </w:r>
    </w:p>
    <w:p>
      <w:pPr>
        <w:pStyle w:val="CaptionedFigure"/>
      </w:pPr>
      <w:r>
        <w:drawing>
          <wp:inline>
            <wp:extent cx="5334000" cy="5418666"/>
            <wp:effectExtent b="0" l="0" r="0" t="0"/>
            <wp:docPr descr="timestep 小尺度候选 CCDF" title="" id="67" name="Picture"/>
            <a:graphic>
              <a:graphicData uri="http://schemas.openxmlformats.org/drawingml/2006/picture">
                <pic:pic>
                  <pic:nvPicPr>
                    <pic:cNvPr descr="../results/credit_soc_timestep_scan_analysis_20260609_v2/top_candidate_ccdf_gri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 小尺度候选 CCDF</w:t>
      </w:r>
    </w:p>
    <w:p>
      <w:pPr>
        <w:pStyle w:val="BodyText"/>
      </w:pPr>
      <w:r>
        <w:t xml:space="preserve">解释：</w:t>
      </w:r>
    </w:p>
    <w:p>
      <w:pPr>
        <w:numPr>
          <w:ilvl w:val="0"/>
          <w:numId w:val="1009"/>
        </w:numPr>
        <w:pStyle w:val="Compact"/>
      </w:pPr>
      <w:r>
        <w:t xml:space="preserve">timestep 下确实出现小尺度重尾/近幂律样貌；有 28 个“小尺度尾部候选”。</w:t>
      </w:r>
    </w:p>
    <w:p>
      <w:pPr>
        <w:numPr>
          <w:ilvl w:val="0"/>
          <w:numId w:val="1009"/>
        </w:numPr>
        <w:pStyle w:val="Compact"/>
      </w:pPr>
      <w:r>
        <w:t xml:space="preserve">但这些候选没有跨过 10%N 尺度门槛，最大事件规模仍低于大级联阈值。</w:t>
      </w:r>
    </w:p>
    <w:p>
      <w:pPr>
        <w:numPr>
          <w:ilvl w:val="0"/>
          <w:numId w:val="1009"/>
        </w:numPr>
        <w:pStyle w:val="Compact"/>
      </w:pPr>
      <w:r>
        <w:t xml:space="preserve">当前证据更适合表述为“高频小 avalanche 的小尺度重尾”，不能直接表述为严格 SOC。</w:t>
      </w:r>
    </w:p>
    <w:bookmarkEnd w:id="69"/>
    <w:bookmarkStart w:id="91" w:name="动画可视化"/>
    <w:p>
      <w:pPr>
        <w:pStyle w:val="Heading2"/>
        <w:ind w:left="0" w:right="0" w:firstLine="0"/>
      </w:pPr>
      <w:r>
        <w:t xml:space="preserve">9. 动画可视化</w:t>
      </w:r>
    </w:p>
    <w:p>
      <w:pPr>
        <w:pStyle w:val="FirstParagraph"/>
      </w:pPr>
      <w:r>
        <w:t xml:space="preserve">动画输出目录：</w:t>
      </w:r>
      <w:r>
        <w:rPr>
          <w:rStyle w:val="VerbatimChar"/>
        </w:rPr>
        <w:t xml:space="preserve">results/credit_soc_visual_evolution_20260609_v1/</w:t>
      </w:r>
      <w:r>
        <w:br/>
      </w:r>
      <w:r>
        <w:t xml:space="preserve">渲染脚本：</w:t>
      </w:r>
      <w:r>
        <w:rPr>
          <w:rStyle w:val="VerbatimChar"/>
        </w:rPr>
        <w:t xml:space="preserve">scripts/render_creditnet_evolution_animations.py</w:t>
      </w:r>
    </w:p>
    <w:p>
      <w:pPr>
        <w:pStyle w:val="BodyText"/>
      </w:pPr>
      <w:r>
        <w:t xml:space="preserve">动画读法：</w:t>
      </w:r>
    </w:p>
    <w:p>
      <w:pPr>
        <w:numPr>
          <w:ilvl w:val="0"/>
          <w:numId w:val="1010"/>
        </w:numPr>
        <w:pStyle w:val="Compact"/>
      </w:pPr>
      <w:r>
        <w:t xml:space="preserve">边表示活跃信贷暴露，越粗/越深表示权重越高。</w:t>
      </w:r>
    </w:p>
    <w:p>
      <w:pPr>
        <w:numPr>
          <w:ilvl w:val="0"/>
          <w:numId w:val="1010"/>
        </w:numPr>
        <w:pStyle w:val="Compact"/>
      </w:pPr>
      <w:r>
        <w:t xml:space="preserve">节点颜色表示净资产，节点大小表示债务压力。</w:t>
      </w:r>
    </w:p>
    <w:p>
      <w:pPr>
        <w:numPr>
          <w:ilvl w:val="0"/>
          <w:numId w:val="1010"/>
        </w:numPr>
        <w:pStyle w:val="Compact"/>
      </w:pPr>
      <w:r>
        <w:t xml:space="preserve">红/橙节点表示当前或新增违约节点。</w:t>
      </w:r>
    </w:p>
    <w:p>
      <w:pPr>
        <w:numPr>
          <w:ilvl w:val="0"/>
          <w:numId w:val="1010"/>
        </w:numPr>
        <w:pStyle w:val="Compact"/>
      </w:pPr>
      <w:r>
        <w:t xml:space="preserve">红色高亮边表示当前级联清算波次中被减记影响的债权边。</w:t>
      </w:r>
    </w:p>
    <w:bookmarkStart w:id="76" w:name="period_end-批量结算过载"/>
    <w:p>
      <w:pPr>
        <w:pStyle w:val="Heading3"/>
        <w:ind w:left="0" w:right="0" w:firstLine="0"/>
      </w:pPr>
      <w:r>
        <w:t xml:space="preserve">9.1 period_end 批量结算过载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period_end_overload.gif" title="" id="71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period_end_overload.gif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period_end_overload.gif</w:t>
      </w:r>
    </w:p>
    <w:p>
      <w:pPr>
        <w:pStyle w:val="CaptionedFigure"/>
      </w:pPr>
      <w:r>
        <w:drawing>
          <wp:inline>
            <wp:extent cx="5334000" cy="4040909"/>
            <wp:effectExtent b="0" l="0" r="0" t="0"/>
            <wp:docPr descr="period_end_overload_keyframes.png" title="" id="74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period_end_overload_keyfram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period_end_overload_keyframes.png</w:t>
      </w:r>
    </w:p>
    <w:p>
      <w:pPr>
        <w:pStyle w:val="BodyText"/>
      </w:pPr>
      <w:r>
        <w:t xml:space="preserve">该场景使用</w:t>
      </w:r>
      <w:r>
        <w:t xml:space="preserve"> </w:t>
      </w:r>
      <w:r>
        <w:rPr>
          <w:rStyle w:val="VerbatimChar"/>
        </w:rPr>
        <w:t xml:space="preserve">N=40</w:t>
      </w:r>
      <w:r>
        <w:t xml:space="preserve">、</w:t>
      </w:r>
      <w:r>
        <w:rPr>
          <w:rStyle w:val="VerbatimChar"/>
        </w:rPr>
        <w:t xml:space="preserve">c=0.90</w:t>
      </w:r>
      <w:r>
        <w:t xml:space="preserve">、lognormal 本金、biased 收入、preferential_debt 和高支出压力。第一期累计 216 次单位信贷尝试后，在期末统一结算和检查。结果出现 13 个同步初始违约，总清算规模为 20/40，达到 50%。动画显示了 period_end 大崩塌的批量结算放大效应。</w:t>
      </w:r>
    </w:p>
    <w:bookmarkEnd w:id="76"/>
    <w:bookmarkStart w:id="83" w:name="timestep-微步结算小-avalanche"/>
    <w:p>
      <w:pPr>
        <w:pStyle w:val="Heading3"/>
        <w:ind w:left="0" w:right="0" w:firstLine="0"/>
      </w:pPr>
      <w:r>
        <w:t xml:space="preserve">9.2 timestep 微步结算小 avalanche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imestep_micro_tail.gif" title="" id="78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timestep_micro_tail.gif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timestep_micro_tail.gif</w:t>
      </w:r>
    </w:p>
    <w:p>
      <w:pPr>
        <w:pStyle w:val="CaptionedFigure"/>
      </w:pPr>
      <w:r>
        <w:drawing>
          <wp:inline>
            <wp:extent cx="5334000" cy="4040909"/>
            <wp:effectExtent b="0" l="0" r="0" t="0"/>
            <wp:docPr descr="timestep_micro_tail_keyframes.png" title="" id="81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timestep_micro_tail_keyframe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timestep_micro_tail_keyframes.png</w:t>
      </w:r>
    </w:p>
    <w:p>
      <w:pPr>
        <w:pStyle w:val="BodyText"/>
      </w:pPr>
      <w:r>
        <w:t xml:space="preserve">该场景使用</w:t>
      </w:r>
      <w:r>
        <w:t xml:space="preserve"> </w:t>
      </w:r>
      <w:r>
        <w:rPr>
          <w:rStyle w:val="VerbatimChar"/>
        </w:rPr>
        <w:t xml:space="preserve">N=60</w:t>
      </w:r>
      <w:r>
        <w:t xml:space="preserve">、</w:t>
      </w:r>
      <w:r>
        <w:rPr>
          <w:rStyle w:val="VerbatimChar"/>
        </w:rPr>
        <w:t xml:space="preserve">c=0.80</w:t>
      </w:r>
      <w:r>
        <w:t xml:space="preserve">、lognormal 本金、biased 收入、preferential_debt，并在每个微步后结算检查。12 个 period、1440 个 micro step 中出现 191 次 avalanche，但最大规模只有 4/60，没有大级联。动画显示了高频小事件如何替代 period_end 下的宏观大崩塌。</w:t>
      </w:r>
    </w:p>
    <w:bookmarkEnd w:id="83"/>
    <w:bookmarkStart w:id="90" w:name="低驱动安静对照"/>
    <w:p>
      <w:pPr>
        <w:pStyle w:val="Heading3"/>
        <w:ind w:left="0" w:right="0" w:firstLine="0"/>
      </w:pPr>
      <w:r>
        <w:t xml:space="preserve">9.3 低驱动安静对照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quiet_low_drive.gif" title="" id="85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quiet_low_drive.gif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quiet_low_drive.gif</w:t>
      </w:r>
    </w:p>
    <w:p>
      <w:pPr>
        <w:pStyle w:val="CaptionedFigure"/>
      </w:pPr>
      <w:r>
        <w:drawing>
          <wp:inline>
            <wp:extent cx="5334000" cy="4040909"/>
            <wp:effectExtent b="0" l="0" r="0" t="0"/>
            <wp:docPr descr="quiet_low_drive_keyframes.png" title="" id="88" name="Picture"/>
            <a:graphic>
              <a:graphicData uri="http://schemas.openxmlformats.org/drawingml/2006/picture">
                <pic:pic>
                  <pic:nvPicPr>
                    <pic:cNvPr descr="../results/credit_soc_visual_evolution_20260609_v1/quiet_low_drive_keyframe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quiet_low_drive_keyframes.png</w:t>
      </w:r>
    </w:p>
    <w:p>
      <w:pPr>
        <w:pStyle w:val="BodyText"/>
      </w:pPr>
      <w:r>
        <w:t xml:space="preserve">该场景使用</w:t>
      </w:r>
      <w:r>
        <w:t xml:space="preserve"> </w:t>
      </w:r>
      <w:r>
        <w:rPr>
          <w:rStyle w:val="VerbatimChar"/>
        </w:rPr>
        <w:t xml:space="preserve">N=40</w:t>
      </w:r>
      <w:r>
        <w:t xml:space="preserve">、</w:t>
      </w:r>
      <w:r>
        <w:rPr>
          <w:rStyle w:val="VerbatimChar"/>
        </w:rPr>
        <w:t xml:space="preserve">c=0.10</w:t>
      </w:r>
      <w:r>
        <w:t xml:space="preserve">、equal 本金、uniform 收入和 random 增长。20 个 period 内只完成 40 次信贷尝试，没有出现违约或 avalanche。它说明低驱动下信贷网络可以缓慢增强而不进入持续失败状态。</w:t>
      </w:r>
    </w:p>
    <w:bookmarkEnd w:id="90"/>
    <w:bookmarkEnd w:id="91"/>
    <w:bookmarkStart w:id="92" w:name="综合结论"/>
    <w:p>
      <w:pPr>
        <w:pStyle w:val="Heading2"/>
        <w:ind w:left="0" w:right="0" w:firstLine="0"/>
      </w:pPr>
      <w:r>
        <w:t xml:space="preserve">10. 综合结论</w:t>
      </w:r>
    </w:p>
    <w:p>
      <w:pPr>
        <w:pStyle w:val="FirstParagraph"/>
      </w:pPr>
      <w:r>
        <w:t xml:space="preserve">本项目当前证据层级应写为：</w:t>
      </w:r>
    </w:p>
    <w:p>
      <w:pPr>
        <w:pStyle w:val="SourceCode"/>
      </w:pPr>
      <w:r>
        <w:rPr>
          <w:rStyle w:val="VerbatimChar"/>
        </w:rPr>
        <w:t xml:space="preserve">大级联出现 &lt; 稳健级联转变 &lt; 重尾 &lt; 统计上可信的幂律 &lt; 严格 SOC</w:t>
      </w:r>
    </w:p>
    <w:p>
      <w:pPr>
        <w:pStyle w:val="FirstParagraph"/>
      </w:pPr>
      <w:r>
        <w:t xml:space="preserve">综合两轮扫描和动画可视化，结论如下：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级联失效相图成立</w:t>
      </w:r>
      <w:r>
        <w:t xml:space="preserve">：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粒度下，系统随</w:t>
      </w:r>
      <w:r>
        <w:t xml:space="preserve"> </w:t>
      </w:r>
      <w:r>
        <w:rPr>
          <w:rStyle w:val="VerbatimChar"/>
        </w:rPr>
        <w:t xml:space="preserve">c</w:t>
      </w:r>
      <w:r>
        <w:t xml:space="preserve">、支出强度、收入分配偏置和本金/拓扑结构出现清晰的过载转变。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period_end 大崩塌有批量结算依赖</w:t>
      </w:r>
      <w:r>
        <w:t xml:space="preserve">：期末统一结算会聚合同步初始违约和传播清算，显著放大单次事件规模。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timestep 粒度下大级联消失</w:t>
      </w:r>
      <w:r>
        <w:t xml:space="preserve">：同一 8000 场景轴改为微步结算后，没有任何场景达到 10%N 大级联阈值。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timestep 下有小尺度重尾/近幂律现象</w:t>
      </w:r>
      <w:r>
        <w:t xml:space="preserve">：部分场景在小 avalanche 范围内具有尾部候选，但尺度范围不足，不能提升为严格 SOC。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严格 SOC 当前不成立</w:t>
      </w:r>
      <w:r>
        <w:t xml:space="preserve">：没有场景同时通过非饱和、转变区、传播占比、尾部可信、替代分布不过强和尺度范围门槛。</w:t>
      </w:r>
    </w:p>
    <w:bookmarkEnd w:id="92"/>
    <w:bookmarkStart w:id="93" w:name="边界与后续工作"/>
    <w:p>
      <w:pPr>
        <w:pStyle w:val="Heading2"/>
        <w:ind w:left="0" w:right="0" w:firstLine="0"/>
      </w:pPr>
      <w:r>
        <w:t xml:space="preserve">11. 边界与后续工作</w:t>
      </w:r>
    </w:p>
    <w:p>
      <w:pPr>
        <w:pStyle w:val="FirstParagraph"/>
      </w:pPr>
      <w:r>
        <w:t xml:space="preserve">当前报告的边界：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period_end</w:t>
      </w:r>
      <w:r>
        <w:t xml:space="preserve"> </w:t>
      </w:r>
      <w:r>
        <w:t xml:space="preserve">完备扫描覆盖广，但仍是每 scenario 3 个 seed、120 periods 的相图筛查。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timestep</w:t>
      </w:r>
      <w:r>
        <w:t xml:space="preserve"> </w:t>
      </w:r>
      <w:r>
        <w:t xml:space="preserve">对照是快速全景 v2：每 scenario 1 个 seed、20 periods、单期最多 500 微步。</w:t>
      </w:r>
    </w:p>
    <w:p>
      <w:pPr>
        <w:numPr>
          <w:ilvl w:val="0"/>
          <w:numId w:val="1012"/>
        </w:numPr>
        <w:pStyle w:val="Compact"/>
      </w:pPr>
      <w:r>
        <w:t xml:space="preserve">动画是小规模代表性重跑，用于机制解释，不是新增严格统计证明。</w:t>
      </w:r>
    </w:p>
    <w:p>
      <w:pPr>
        <w:pStyle w:val="FirstParagraph"/>
      </w:pPr>
      <w:r>
        <w:t xml:space="preserve">后续若要继续检验 timestep 尺度的 SOC，应优先做：</w:t>
      </w:r>
    </w:p>
    <w:p>
      <w:pPr>
        <w:numPr>
          <w:ilvl w:val="0"/>
          <w:numId w:val="1013"/>
        </w:numPr>
        <w:pStyle w:val="Compact"/>
      </w:pPr>
      <w:r>
        <w:t xml:space="preserve">对 28 个小尺度尾部候选做多 seed、长时、无上限或更高</w:t>
      </w:r>
      <w:r>
        <w:t xml:space="preserve"> </w:t>
      </w:r>
      <w:r>
        <w:rPr>
          <w:rStyle w:val="VerbatimChar"/>
        </w:rPr>
        <w:t xml:space="preserve">max_period_length_steps</w:t>
      </w:r>
      <w:r>
        <w:t xml:space="preserve"> </w:t>
      </w:r>
      <w:r>
        <w:t xml:space="preserve">复核。</w:t>
      </w:r>
    </w:p>
    <w:p>
      <w:pPr>
        <w:numPr>
          <w:ilvl w:val="0"/>
          <w:numId w:val="1013"/>
        </w:numPr>
        <w:pStyle w:val="Compact"/>
      </w:pPr>
      <w:r>
        <w:t xml:space="preserve">做</w:t>
      </w:r>
      <w:r>
        <w:t xml:space="preserve"> </w:t>
      </w:r>
      <w:r>
        <w:rPr>
          <w:rStyle w:val="VerbatimChar"/>
        </w:rPr>
        <w:t xml:space="preserve">N=120/240/500</w:t>
      </w:r>
      <w:r>
        <w:t xml:space="preserve"> </w:t>
      </w:r>
      <w:r>
        <w:t xml:space="preserve">的有限尺寸标度，检查尾部 cutoff 是否随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扩展。</w:t>
      </w:r>
    </w:p>
    <w:p>
      <w:pPr>
        <w:numPr>
          <w:ilvl w:val="0"/>
          <w:numId w:val="1013"/>
        </w:numPr>
        <w:pStyle w:val="Compact"/>
      </w:pPr>
      <w:r>
        <w:t xml:space="preserve">明确拆分</w:t>
      </w:r>
      <w:r>
        <w:t xml:space="preserve"> </w:t>
      </w:r>
      <w:r>
        <w:rPr>
          <w:rStyle w:val="VerbatimChar"/>
        </w:rPr>
        <w:t xml:space="preserve">initial_default_count</w:t>
      </w:r>
      <w:r>
        <w:t xml:space="preserve">、</w:t>
      </w:r>
      <w:r>
        <w:rPr>
          <w:rStyle w:val="VerbatimChar"/>
        </w:rPr>
        <w:t xml:space="preserve">propagated_default_count</w:t>
      </w:r>
      <w:r>
        <w:t xml:space="preserve"> </w:t>
      </w:r>
      <w:r>
        <w:t xml:space="preserve">和 repeated defaults。</w:t>
      </w:r>
    </w:p>
    <w:p>
      <w:pPr>
        <w:numPr>
          <w:ilvl w:val="0"/>
          <w:numId w:val="1013"/>
        </w:numPr>
        <w:pStyle w:val="Compact"/>
      </w:pPr>
      <w:r>
        <w:t xml:space="preserve">比较 period_end、固定批次结算、timestep 结算在同一强度下的机制鲁棒性。</w:t>
      </w:r>
    </w:p>
    <w:p>
      <w:pPr>
        <w:pStyle w:val="FirstParagraph"/>
      </w:pPr>
      <w:r>
        <w:t xml:space="preserve">在当前证据下，最稳妥的表述是：该信贷网络模型存在机制敏感的级联失效和过载转变；timestep 尺度出现小 avalanche 重尾现象；但严格自组织临界尚无支持证据。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ind w:left="0" w:right="0" w:firstLine="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27" Type="http://schemas.openxmlformats.org/officeDocument/2006/relationships/image" Target="media/rId27.png"/><Relationship Id="rId40" Type="http://schemas.openxmlformats.org/officeDocument/2006/relationships/image" Target="media/rId40.png"/><Relationship Id="rId46" Type="http://schemas.openxmlformats.org/officeDocument/2006/relationships/image" Target="media/rId46.png"/><Relationship Id="rId63" Type="http://schemas.openxmlformats.org/officeDocument/2006/relationships/image" Target="media/rId63.png"/><Relationship Id="rId56" Type="http://schemas.openxmlformats.org/officeDocument/2006/relationships/image" Target="media/rId56.png"/><Relationship Id="rId60" Type="http://schemas.openxmlformats.org/officeDocument/2006/relationships/image" Target="media/rId60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66" Type="http://schemas.openxmlformats.org/officeDocument/2006/relationships/image" Target="media/rId66.png"/><Relationship Id="rId70" Type="http://schemas.openxmlformats.org/officeDocument/2006/relationships/image" Target="media/rId70.gif"/><Relationship Id="rId73" Type="http://schemas.openxmlformats.org/officeDocument/2006/relationships/image" Target="media/rId73.png"/><Relationship Id="rId84" Type="http://schemas.openxmlformats.org/officeDocument/2006/relationships/image" Target="media/rId84.gif"/><Relationship Id="rId87" Type="http://schemas.openxmlformats.org/officeDocument/2006/relationships/image" Target="media/rId87.png"/><Relationship Id="rId77" Type="http://schemas.openxmlformats.org/officeDocument/2006/relationships/image" Target="media/rId77.gif"/><Relationship Id="rId80" Type="http://schemas.openxmlformats.org/officeDocument/2006/relationships/image" Target="media/rId80.png"/><Relationship Id="rId20" Type="http://schemas.openxmlformats.org/officeDocument/2006/relationships/hyperlink" Target="../project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proje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2026-06-09T08:15:50Z</dcterms:created>
  <dcterms:modified xsi:type="dcterms:W3CDTF">2026-06-09T08:15:50Z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