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28.png" ContentType="image/png"/>
  <Override PartName="/word/media/rId34.png" ContentType="image/png"/>
  <Override PartName="/word/media/rId37.png" ContentType="image/png"/>
  <Override PartName="/word/media/rId60.png" ContentType="image/png"/>
  <Override PartName="/word/media/rId75.png" ContentType="image/png"/>
  <Override PartName="/word/media/rId66.png" ContentType="image/png"/>
  <Override PartName="/word/media/rId63.png" ContentType="image/png"/>
  <Override PartName="/word/media/rId69.png" ContentType="image/png"/>
  <Override PartName="/word/media/rId72.png" ContentType="image/png"/>
  <Override PartName="/word/media/rId52.png" ContentType="image/png"/>
  <Override PartName="/word/media/rId56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21.png" ContentType="image/png"/>
  <Override PartName="/word/media/rId2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timestep尺度信贷网络soc对照实验报告-v2"/>
    <w:p>
      <w:pPr>
        <w:pStyle w:val="Heading1"/>
      </w:pPr>
      <w:r>
        <w:t xml:space="preserve">timestep尺度信贷网络SOC对照实验报告 v2</w:t>
      </w:r>
    </w:p>
    <w:p>
      <w:pPr>
        <w:pStyle w:val="FirstParagraph"/>
      </w:pPr>
      <w:r>
        <w:t xml:space="preserve">生成时间：2026-06-09 13:26:58 CST</w:t>
      </w:r>
    </w:p>
    <w:bookmarkStart w:id="20" w:name="实验协议"/>
    <w:p>
      <w:pPr>
        <w:pStyle w:val="Heading2"/>
      </w:pPr>
      <w:r>
        <w:t xml:space="preserve">1. 实验协议</w:t>
      </w:r>
    </w:p>
    <w:p>
      <w:pPr>
        <w:numPr>
          <w:ilvl w:val="0"/>
          <w:numId w:val="1001"/>
        </w:numPr>
        <w:pStyle w:val="Compact"/>
      </w:pPr>
      <w:r>
        <w:t xml:space="preserve">timestep扫描目录：</w:t>
      </w:r>
      <w:r>
        <w:rPr>
          <w:rStyle w:val="VerbatimChar"/>
        </w:rPr>
        <w:t xml:space="preserve">results/credit_soc_timestep_scan_20260609_v2/merged</w:t>
      </w:r>
    </w:p>
    <w:p>
      <w:pPr>
        <w:numPr>
          <w:ilvl w:val="0"/>
          <w:numId w:val="1001"/>
        </w:numPr>
        <w:pStyle w:val="Compact"/>
      </w:pPr>
      <w:r>
        <w:t xml:space="preserve">分析目录：</w:t>
      </w:r>
      <w:r>
        <w:rPr>
          <w:rStyle w:val="VerbatimChar"/>
        </w:rPr>
        <w:t xml:space="preserve">results/credit_soc_timestep_scan_analysis_20260609_v2</w:t>
      </w:r>
    </w:p>
    <w:p>
      <w:pPr>
        <w:numPr>
          <w:ilvl w:val="0"/>
          <w:numId w:val="1001"/>
        </w:numPr>
        <w:pStyle w:val="Compact"/>
      </w:pPr>
      <w:r>
        <w:t xml:space="preserve">period_end 对照目录：</w:t>
      </w:r>
      <w:r>
        <w:rPr>
          <w:rStyle w:val="VerbatimChar"/>
        </w:rPr>
        <w:t xml:space="preserve">/data/WYC/class/creditNet/results/credit_soc_comprehensive_scan_20260608_v1</w:t>
      </w:r>
    </w:p>
    <w:p>
      <w:pPr>
        <w:numPr>
          <w:ilvl w:val="0"/>
          <w:numId w:val="1001"/>
        </w:numPr>
        <w:pStyle w:val="Compact"/>
      </w:pPr>
      <w:r>
        <w:t xml:space="preserve">run 数：8000</w:t>
      </w:r>
    </w:p>
    <w:p>
      <w:pPr>
        <w:numPr>
          <w:ilvl w:val="0"/>
          <w:numId w:val="1001"/>
        </w:numPr>
        <w:pStyle w:val="Compact"/>
      </w:pPr>
      <w:r>
        <w:t xml:space="preserve">avalanche 事件数：4539260</w:t>
      </w:r>
    </w:p>
    <w:p>
      <w:pPr>
        <w:numPr>
          <w:ilvl w:val="0"/>
          <w:numId w:val="1001"/>
        </w:numPr>
        <w:pStyle w:val="Compact"/>
      </w:pPr>
      <w:r>
        <w:t xml:space="preserve">scenario 数：8000</w:t>
      </w:r>
    </w:p>
    <w:p>
      <w:pPr>
        <w:numPr>
          <w:ilvl w:val="0"/>
          <w:numId w:val="1001"/>
        </w:numPr>
        <w:pStyle w:val="Compact"/>
      </w:pPr>
      <w:r>
        <w:t xml:space="preserve">每宏观期微步上限：</w:t>
      </w:r>
      <w:r>
        <w:rPr>
          <w:rStyle w:val="VerbatimChar"/>
        </w:rPr>
        <w:t xml:space="preserve">max_period_length_steps=500</w:t>
      </w:r>
    </w:p>
    <w:p>
      <w:pPr>
        <w:pStyle w:val="FirstParagraph"/>
      </w:pPr>
      <w:r>
        <w:t xml:space="preserve">本轮保持上一轮完备扫描的场景轴：初始本金分布、收入分配、信贷增长规则、支出机制、网络拓扑和</w:t>
      </w:r>
      <w:r>
        <w:t xml:space="preserve"> </w:t>
      </w:r>
      <w:r>
        <w:rPr>
          <w:rStyle w:val="VerbatimChar"/>
        </w:rPr>
        <w:t xml:space="preserve">c=0.10..0.80</w:t>
      </w:r>
      <w:r>
        <w:t xml:space="preserve">。区别只在事件观测尺度：原协议在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统一结算检查；本协议把一个宏观期的计划</w:t>
      </w:r>
      <w:r>
        <w:t xml:space="preserve"> </w:t>
      </w:r>
      <w:r>
        <w:rPr>
          <w:rStyle w:val="VerbatimChar"/>
        </w:rPr>
        <w:t xml:space="preserve">K_t</w:t>
      </w:r>
      <w:r>
        <w:t xml:space="preserve"> </w:t>
      </w:r>
      <w:r>
        <w:t xml:space="preserve">个单位信贷尝试拆成</w:t>
      </w:r>
      <w:r>
        <w:t xml:space="preserve"> </w:t>
      </w:r>
      <w:r>
        <w:rPr>
          <w:rStyle w:val="VerbatimChar"/>
        </w:rPr>
        <w:t xml:space="preserve">K_t</w:t>
      </w:r>
      <w:r>
        <w:t xml:space="preserve"> </w:t>
      </w:r>
      <w:r>
        <w:t xml:space="preserve">个微步，每个成功或失败的 credit</w:t>
      </w:r>
      <w:r>
        <w:t xml:space="preserve"> </w:t>
      </w:r>
      <w:r>
        <w:rPr>
          <w:rStyle w:val="VerbatimChar"/>
        </w:rPr>
        <w:t xml:space="preserve">time_step</w:t>
      </w:r>
      <w:r>
        <w:t xml:space="preserve"> </w:t>
      </w:r>
      <w:r>
        <w:t xml:space="preserve">后立即按</w:t>
      </w:r>
      <w:r>
        <w:t xml:space="preserve"> </w:t>
      </w:r>
      <w:r>
        <w:rPr>
          <w:rStyle w:val="VerbatimChar"/>
        </w:rPr>
        <w:t xml:space="preserve">1/K_t</w:t>
      </w:r>
      <w:r>
        <w:t xml:space="preserve"> </w:t>
      </w:r>
      <w:r>
        <w:t xml:space="preserve">缩放结算支出/收入、检查违约，并在下一次信贷增长前完成整次 avalanche 清算。</w:t>
      </w:r>
    </w:p>
    <w:p>
      <w:pPr>
        <w:pStyle w:val="BodyText"/>
      </w:pPr>
      <w:r>
        <w:t xml:space="preserve">为使 8000 个场景的全景筛查在有限时间内完成，本轮 v2 对照设置</w:t>
      </w:r>
      <w:r>
        <w:t xml:space="preserve"> </w:t>
      </w:r>
      <w:r>
        <w:rPr>
          <w:rStyle w:val="VerbatimChar"/>
        </w:rPr>
        <w:t xml:space="preserve">max_period_length_steps=500</w:t>
      </w:r>
      <w:r>
        <w:t xml:space="preserve">：理论</w:t>
      </w:r>
      <w:r>
        <w:t xml:space="preserve"> </w:t>
      </w:r>
      <w:r>
        <w:rPr>
          <w:rStyle w:val="VerbatimChar"/>
        </w:rPr>
        <w:t xml:space="preserve">K_t</w:t>
      </w:r>
      <w:r>
        <w:t xml:space="preserve"> </w:t>
      </w:r>
      <w:r>
        <w:t xml:space="preserve">仍记录为未截断指标，实际每个宏观期最多执行 500 个 credit 微步。这一上限不会改变单个微步的单位信贷规模，但会限制高</w:t>
      </w:r>
      <w:r>
        <w:t xml:space="preserve"> </w:t>
      </w:r>
      <w:r>
        <w:rPr>
          <w:rStyle w:val="VerbatimChar"/>
        </w:rPr>
        <w:t xml:space="preserve">c</w:t>
      </w:r>
      <w:r>
        <w:t xml:space="preserve">、高支出反馈下的单期计算长度，因此本报告结论应解释为“带 500 微步上限的 timestep 快速全景对照”，不是 120-period、3-seed、无上限长时稳态最终证明。</w:t>
      </w:r>
    </w:p>
    <w:p>
      <w:pPr>
        <w:pStyle w:val="BodyText"/>
      </w:pPr>
      <w:r>
        <w:t xml:space="preserve">因此，本报告里的</w:t>
      </w:r>
      <w:r>
        <w:t xml:space="preserve"> </w:t>
      </w:r>
      <w:r>
        <w:rPr>
          <w:rStyle w:val="VerbatimChar"/>
        </w:rPr>
        <w:t xml:space="preserve">event_timestep_rate</w:t>
      </w:r>
      <w:r>
        <w:t xml:space="preserve"> </w:t>
      </w:r>
      <w:r>
        <w:t xml:space="preserve">是 avalanche 次数除以实际信贷尝试 time_step 数；</w:t>
      </w:r>
      <w:r>
        <w:rPr>
          <w:rStyle w:val="VerbatimChar"/>
        </w:rPr>
        <w:t xml:space="preserve">event_period_occupancy</w:t>
      </w:r>
      <w:r>
        <w:t xml:space="preserve"> </w:t>
      </w:r>
      <w:r>
        <w:t xml:space="preserve">只是有事件的宏观期占比。SOC 快筛里的非饱和门槛使用</w:t>
      </w:r>
      <w:r>
        <w:t xml:space="preserve"> </w:t>
      </w:r>
      <w:r>
        <w:rPr>
          <w:rStyle w:val="VerbatimChar"/>
        </w:rPr>
        <w:t xml:space="preserve">event_timestep_rate &lt; 0.80</w:t>
      </w:r>
      <w:r>
        <w:t xml:space="preserve">，不再使用 period_end 报告中的 period 占用率。</w:t>
      </w:r>
    </w:p>
    <w:bookmarkEnd w:id="20"/>
    <w:bookmarkStart w:id="27" w:name="与-period_end-的总体差异"/>
    <w:p>
      <w:pPr>
        <w:pStyle w:val="Heading2"/>
      </w:pPr>
      <w:r>
        <w:t xml:space="preserve">2. 与 period_end 的总体差异</w:t>
      </w:r>
    </w:p>
    <w:p>
      <w:pPr>
        <w:numPr>
          <w:ilvl w:val="0"/>
          <w:numId w:val="1002"/>
        </w:numPr>
        <w:pStyle w:val="Compact"/>
      </w:pPr>
      <w:r>
        <w:t xml:space="preserve">同场景平均大级联事件率变化：-0.321</w:t>
      </w:r>
    </w:p>
    <w:p>
      <w:pPr>
        <w:numPr>
          <w:ilvl w:val="0"/>
          <w:numId w:val="1002"/>
        </w:numPr>
        <w:pStyle w:val="Compact"/>
      </w:pPr>
      <w:r>
        <w:t xml:space="preserve">同场景平均事件规模比例变化：-0.102</w:t>
      </w:r>
    </w:p>
    <w:p>
      <w:pPr>
        <w:pStyle w:val="CaptionedFigure"/>
      </w:pPr>
      <w:r>
        <w:drawing>
          <wp:inline>
            <wp:extent cx="5334000" cy="3657600"/>
            <wp:effectExtent b="0" l="0" r="0" t="0"/>
            <wp:docPr descr="protocol_compare_by_c.png" title="" id="22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protocol_compare_by_c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protocol_compare_by_c.png</w:t>
      </w:r>
    </w:p>
    <w:p>
      <w:pPr>
        <w:pStyle w:val="CaptionedFigure"/>
      </w:pPr>
      <w:r>
        <w:drawing>
          <wp:inline>
            <wp:extent cx="5334000" cy="2461846"/>
            <wp:effectExtent b="0" l="0" r="0" t="0"/>
            <wp:docPr descr="protocol_scenario_scatter.png" title="" id="25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protocol_scenario_scatte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protocol_scenario_scatter.png</w:t>
      </w:r>
    </w:p>
    <w:p>
      <w:pPr>
        <w:pStyle w:val="BodyText"/>
      </w:pPr>
      <w:r>
        <w:t xml:space="preserve">按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聚合的 timestep 结果：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mean_large_event_rate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mean_event_timestep_rate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mean_event_period_occupancy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mean_propagated_share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mean_repeat_default_share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0.7168</w:t>
            </w:r>
          </w:p>
        </w:tc>
      </w:tr>
    </w:tbl>
    <w:bookmarkEnd w:id="27"/>
    <w:bookmarkStart w:id="55" w:name="级联失效相图"/>
    <w:p>
      <w:pPr>
        <w:pStyle w:val="Heading2"/>
      </w:pPr>
      <w:r>
        <w:t xml:space="preserve">3. 级联失效相图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cascade_phase_by_money.png" title="" id="29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cascade_phase_by_mone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cascade_phase_by_money.png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cascade_phase_by_income_rule.png" title="" id="32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cascade_phase_by_income_rul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cascade_phase_by_income_rule.png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cascade_phase_by_spending.png" title="" id="35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cascade_phase_by_spending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cascade_phase_by_spending.png</w:t>
      </w:r>
    </w:p>
    <w:p>
      <w:pPr>
        <w:pStyle w:val="CaptionedFigure"/>
      </w:pPr>
      <w:r>
        <w:drawing>
          <wp:inline>
            <wp:extent cx="5334000" cy="3387810"/>
            <wp:effectExtent b="0" l="0" r="0" t="0"/>
            <wp:docPr descr="cascade_phase_by_topology.png" title="" id="38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cascade_phase_by_topolog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cascade_phase_by_topology.png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cascade_phase_by_growth_rule.png" title="" id="41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cascade_phase_by_growth_rul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cascade_phase_by_growth_rule.png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large_event_phase_by_money.png" title="" id="44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large_event_phase_by_money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large_event_phase_by_money.png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large_event_phase_by_spending.png" title="" id="47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large_event_phase_by_spending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large_event_phase_by_spending.png</w:t>
      </w:r>
    </w:p>
    <w:p>
      <w:pPr>
        <w:pStyle w:val="CaptionedFigure"/>
      </w:pPr>
      <w:r>
        <w:drawing>
          <wp:inline>
            <wp:extent cx="5334000" cy="3387810"/>
            <wp:effectExtent b="0" l="0" r="0" t="0"/>
            <wp:docPr descr="large_event_phase_by_topology.png" title="" id="50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large_event_phase_by_topolog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large_event_phase_by_topology.png</w:t>
      </w:r>
    </w:p>
    <w:p>
      <w:pPr>
        <w:pStyle w:val="CaptionedFigure"/>
      </w:pPr>
      <w:r>
        <w:drawing>
          <wp:inline>
            <wp:extent cx="5334000" cy="9382554"/>
            <wp:effectExtent b="0" l="0" r="0" t="0"/>
            <wp:docPr descr="global_cascade_phase_map.png" title="" id="53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global_cascade_phase_map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8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global_cascade_phase_map.png</w:t>
      </w:r>
    </w:p>
    <w:p>
      <w:pPr>
        <w:pStyle w:val="BodyText"/>
      </w:pPr>
      <w:r>
        <w:t xml:space="preserve">级联规模最高的场景：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income_distribution_rule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spending_label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event_large_event_rate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event_timestep_rate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propagated_share_total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mean_repeat_default_share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55"/>
    <w:bookmarkStart w:id="59" w:name="soc-快筛相图"/>
    <w:p>
      <w:pPr>
        <w:pStyle w:val="Heading2"/>
      </w:pPr>
      <w:r>
        <w:t xml:space="preserve">4. SOC 快筛相图</w:t>
      </w:r>
    </w:p>
    <w:p>
      <w:pPr>
        <w:numPr>
          <w:ilvl w:val="0"/>
          <w:numId w:val="1003"/>
        </w:numPr>
        <w:pStyle w:val="Compact"/>
      </w:pPr>
      <w:r>
        <w:t xml:space="preserve">快速候选数：0</w:t>
      </w:r>
    </w:p>
    <w:p>
      <w:pPr>
        <w:numPr>
          <w:ilvl w:val="0"/>
          <w:numId w:val="1003"/>
        </w:numPr>
        <w:pStyle w:val="Compact"/>
      </w:pPr>
      <w:r>
        <w:t xml:space="preserve">小尺度尾部候选数（未达到 10%N 尺度门槛）：28</w:t>
      </w:r>
    </w:p>
    <w:p>
      <w:pPr>
        <w:numPr>
          <w:ilvl w:val="0"/>
          <w:numId w:val="1003"/>
        </w:numPr>
        <w:pStyle w:val="Compact"/>
      </w:pPr>
      <w:r>
        <w:t xml:space="preserve">timestep 近饱和场景数（event_timestep_rate &gt;= 0.80）：42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gate_event_count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gate_not_saturated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gate_has_transition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gate_propagation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gate_tail_plausible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gate_alternative_not_better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gate_scale_range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quick_soc_candidate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CaptionedFigure"/>
      </w:pPr>
      <w:r>
        <w:drawing>
          <wp:inline>
            <wp:extent cx="5334000" cy="9382554"/>
            <wp:effectExtent b="0" l="0" r="0" t="0"/>
            <wp:docPr descr="global_soc_screen_phase_map.png" title="" id="57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global_soc_screen_phase_map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8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global_soc_screen_phase_map.png</w:t>
      </w:r>
    </w:p>
    <w:p>
      <w:pPr>
        <w:pStyle w:val="BodyText"/>
      </w:pPr>
      <w:r>
        <w:t xml:space="preserve">SOC 快筛分数最高的场景：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soc_screen_score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quick_soc_candidate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small_tail_candidate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income_distribution_rule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spending_label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event_large_event_rate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event_timestep_rate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propagated_share_total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bounded_bootstrap_p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pl_vs_lognormal_R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-1.008</w:t>
            </w:r>
          </w:p>
        </w:tc>
      </w:tr>
    </w:tbl>
    <w:bookmarkEnd w:id="59"/>
    <w:bookmarkStart w:id="81" w:name="级联规模-频率关系"/>
    <w:p>
      <w:pPr>
        <w:pStyle w:val="Heading2"/>
      </w:pPr>
      <w:r>
        <w:t xml:space="preserve">5. 级联规模-频率关系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cdf_by_c.png" title="" id="61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ccdf_by_c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ccdf_by_c.png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cdf_by_money.png" title="" id="64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ccdf_by_money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ccdf_by_money.png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cdf_by_income_rule.png" title="" id="67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ccdf_by_income_rul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ccdf_by_income_rule.png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cdf_by_spending.png" title="" id="70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ccdf_by_spending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ccdf_by_spending.png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cdf_by_topology.png" title="" id="73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ccdf_by_topology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ccdf_by_topology.png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cdf_by_growth_rule.png" title="" id="76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ccdf_by_growth_rul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ccdf_by_growth_rule.png</w:t>
      </w:r>
    </w:p>
    <w:p>
      <w:pPr>
        <w:pStyle w:val="CaptionedFigure"/>
      </w:pPr>
      <w:r>
        <w:drawing>
          <wp:inline>
            <wp:extent cx="5334000" cy="5418666"/>
            <wp:effectExtent b="0" l="0" r="0" t="0"/>
            <wp:docPr descr="top_candidate_ccdf_grid.png" title="" id="79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top_candidate_ccdf_grid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top_candidate_ccdf_grid.png</w:t>
      </w:r>
    </w:p>
    <w:bookmarkEnd w:id="81"/>
    <w:bookmarkStart w:id="82" w:name="尾部拟合摘要"/>
    <w:p>
      <w:pPr>
        <w:pStyle w:val="Heading2"/>
      </w:pPr>
      <w:r>
        <w:t xml:space="preserve">6. 尾部拟合摘要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income_distribution_rule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spending_label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bounded_alpha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bounded_bootstrap_p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pl_vs_exponential_R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pl_vs_lognormal_R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insufficient_tail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-0.05387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-0.3304</w:t>
            </w:r>
          </w:p>
        </w:tc>
      </w:tr>
    </w:tbl>
    <w:bookmarkEnd w:id="82"/>
    <w:bookmarkStart w:id="83" w:name="当前判定"/>
    <w:p>
      <w:pPr>
        <w:pStyle w:val="Heading2"/>
      </w:pPr>
      <w:r>
        <w:t xml:space="preserve">7. 当前判定</w:t>
      </w:r>
    </w:p>
    <w:p>
      <w:pPr>
        <w:pStyle w:val="FirstParagraph"/>
      </w:pPr>
      <w:r>
        <w:t xml:space="preserve">timestep 协议可以回答一个明确问题：上一轮 period_end 大崩塌是否主要来自较粗的批量结算尺度。如果 timestep 结算后大级联率、平均规模和同步 initial defaults 明显下降，就说明原大事件有相当部分由 period_end 批量聚合放大；如果仍在多个相邻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和多类场景中存在稳定跨尺度事件，并通过尾部、平稳性和有限尺寸门槛，才可升级为 timestep-SOC 候选。</w:t>
      </w:r>
    </w:p>
    <w:p>
      <w:pPr>
        <w:pStyle w:val="BodyText"/>
      </w:pPr>
      <w:r>
        <w:t xml:space="preserve">本报告的 SOC 结论仍遵循项目层级：大级联出现 &lt; 稳健级联转变 &lt; 重尾 &lt; 可信幂律 &lt; 严格 SOC。timestep 下即使每个微步都可能触发 avalanche，也不能把高频事件本身直接等同于 SOC；必须结合规模分布、传播分量、重复违约、长期平稳和有限尺寸标度。</w:t>
      </w:r>
    </w:p>
    <w:bookmarkEnd w:id="83"/>
    <w:bookmarkStart w:id="84" w:name="轴效应摘要"/>
    <w:p>
      <w:pPr>
        <w:pStyle w:val="Heading2"/>
      </w:pPr>
      <w:r>
        <w:t xml:space="preserve">8. 轴效应摘要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mean_large_event_rate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mean_event_timestep_rate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mean_propagated_share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mean_repeat_default_share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income_distribution_rule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income_distribution_rule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spending_label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spending_label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spending_label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spending_label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spending_label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0.3951</w:t>
            </w:r>
          </w:p>
        </w:tc>
      </w:tr>
    </w:tbl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60" Target="media/rId60.png" /><Relationship Type="http://schemas.openxmlformats.org/officeDocument/2006/relationships/image" Id="rId75" Target="media/rId75.png" /><Relationship Type="http://schemas.openxmlformats.org/officeDocument/2006/relationships/image" Id="rId66" Target="media/rId66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2026-06-09T07:20:17Z</dcterms:created>
  <dcterms:modified xsi:type="dcterms:W3CDTF">2026-06-09T07:20:17Z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