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33.png" ContentType="image/png"/>
  <Override PartName="/word/media/rId27.png" ContentType="image/png"/>
  <Override PartName="/word/media/rId30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收入内生-c0.10-0.80-重新实验分析报告"/>
    <w:p>
      <w:pPr>
        <w:pStyle w:val="Heading1"/>
      </w:pPr>
      <w:r>
        <w:t xml:space="preserve">收入内生 c=0.10-0.80 重新实验分析报告</w:t>
      </w:r>
    </w:p>
    <w:p>
      <w:pPr>
        <w:pStyle w:val="FirstParagraph"/>
      </w:pPr>
      <w:r>
        <w:t xml:space="preserve">生成时间：2026-06-05 18:52:40 CST</w:t>
      </w:r>
    </w:p>
    <w:bookmarkStart w:id="20" w:name="实验设置"/>
    <w:p>
      <w:pPr>
        <w:pStyle w:val="Heading2"/>
      </w:pPr>
      <w:r>
        <w:t xml:space="preserve">实验设置</w:t>
      </w:r>
    </w:p>
    <w:p>
      <w:pPr>
        <w:pStyle w:val="FirstParagraph"/>
      </w:pPr>
      <w:r>
        <w:t xml:space="preserve">本次重新实验只改变收入内生时期长度中的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网格：</w:t>
      </w:r>
      <w:r>
        <w:rPr>
          <w:rStyle w:val="VerbatimChar"/>
        </w:rPr>
        <w:t xml:space="preserve">0.10, 0.20, ..., 0.80</w:t>
      </w:r>
      <w:r>
        <w:t xml:space="preserve">。模型仍使用：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period_length_rule=income</w:t>
      </w:r>
      <w:r>
        <w:t xml:space="preserve">，即</w:t>
      </w:r>
      <w:r>
        <w:t xml:space="preserve"> </w:t>
      </w:r>
      <w:r>
        <w:rPr>
          <w:rStyle w:val="VerbatimChar"/>
        </w:rPr>
        <w:t xml:space="preserve">K_t=round(c * Y_(t-1))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default_check_mode=period_end</w:t>
      </w:r>
      <w:r>
        <w:t xml:space="preserve">，每期末做流量结算和违约检查；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avalanche_protocol=continue_after_avalanche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N=200</w:t>
      </w:r>
      <w:r>
        <w:t xml:space="preserve">、biased 收入、random 增长；</w:t>
      </w:r>
    </w:p>
    <w:p>
      <w:pPr>
        <w:numPr>
          <w:ilvl w:val="0"/>
          <w:numId w:val="1001"/>
        </w:numPr>
        <w:pStyle w:val="Compact"/>
      </w:pPr>
      <w:r>
        <w:t xml:space="preserve">初始本金分布：lognormal 与 pareto；</w:t>
      </w:r>
    </w:p>
    <w:p>
      <w:pPr>
        <w:numPr>
          <w:ilvl w:val="0"/>
          <w:numId w:val="1001"/>
        </w:numPr>
        <w:pStyle w:val="Compact"/>
      </w:pPr>
      <w:r>
        <w:t xml:space="preserve">每个 scenario 60 次独立重复，最多 300 个 period。</w:t>
      </w:r>
    </w:p>
    <w:p>
      <w:pPr>
        <w:pStyle w:val="FirstParagraph"/>
      </w:pPr>
      <w:r>
        <w:t xml:space="preserve">新结果目录：</w:t>
      </w:r>
      <w:r>
        <w:rPr>
          <w:rStyle w:val="VerbatimChar"/>
        </w:rPr>
        <w:t xml:space="preserve">results/credit_soc_phase2_income_c010_c080_20260605_v1</w:t>
      </w:r>
    </w:p>
    <w:p>
      <w:pPr>
        <w:pStyle w:val="BodyText"/>
      </w:pPr>
      <w:r>
        <w:t xml:space="preserve">旧对照目录：</w:t>
      </w:r>
      <w:r>
        <w:rPr>
          <w:rStyle w:val="VerbatimChar"/>
        </w:rPr>
        <w:t xml:space="preserve">results/credit_soc_phase2_strict_soc_20260604_v1</w:t>
      </w:r>
      <w:r>
        <w:t xml:space="preserve">。旧对照只用于比较此前</w:t>
      </w:r>
      <w:r>
        <w:t xml:space="preserve"> </w:t>
      </w:r>
      <w:r>
        <w:rPr>
          <w:rStyle w:val="VerbatimChar"/>
        </w:rPr>
        <w:t xml:space="preserve">c&lt;=0.20</w:t>
      </w:r>
      <w:r>
        <w:t xml:space="preserve"> </w:t>
      </w:r>
      <w:r>
        <w:t xml:space="preserve">的收入内生细扫，不重写旧的最终 SOC 判定。</w:t>
      </w:r>
    </w:p>
    <w:p>
      <w:pPr>
        <w:pStyle w:val="BodyText"/>
      </w:pPr>
      <w:r>
        <w:t xml:space="preserve">本次新扫描共 16 个 scenario、960 个 run、271044 个 avalanche event。</w:t>
      </w:r>
    </w:p>
    <w:bookmarkEnd w:id="20"/>
    <w:bookmarkStart w:id="21" w:name="核心结论"/>
    <w:p>
      <w:pPr>
        <w:pStyle w:val="Heading2"/>
      </w:pPr>
      <w:r>
        <w:t xml:space="preserve">核心结论</w:t>
      </w:r>
    </w:p>
    <w:p>
      <w:pPr>
        <w:numPr>
          <w:ilvl w:val="0"/>
          <w:numId w:val="1002"/>
        </w:numPr>
        <w:pStyle w:val="Compact"/>
      </w:pPr>
      <w:r>
        <w:t xml:space="preserve">把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扩展到</w:t>
      </w:r>
      <w:r>
        <w:t xml:space="preserve"> </w:t>
      </w:r>
      <w:r>
        <w:rPr>
          <w:rStyle w:val="VerbatimChar"/>
        </w:rPr>
        <w:t xml:space="preserve">0.80</w:t>
      </w:r>
      <w:r>
        <w:t xml:space="preserve"> </w:t>
      </w:r>
      <w:r>
        <w:t xml:space="preserve">后，系统明显进入更强的 period-end 批量结算压力区：事件频率和连续期发生事件的比例整体上升。</w:t>
      </w:r>
    </w:p>
    <w:p>
      <w:pPr>
        <w:numPr>
          <w:ilvl w:val="0"/>
          <w:numId w:val="1002"/>
        </w:numPr>
        <w:pStyle w:val="Compact"/>
      </w:pPr>
      <w:r>
        <w:t xml:space="preserve">传播占比也随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上升，但它是在事件几乎每期发生、等待时间约等于 1 的过载背景中上升；因此不能把它解释为稳定、稀疏、单触发 avalanche 的临界传播。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c=0.20</w:t>
      </w:r>
      <w:r>
        <w:t xml:space="preserve"> </w:t>
      </w:r>
      <w:r>
        <w:t xml:space="preserve">的新旧重复结果方向一致，说明旧结论不是低 c 网格偶然造成的；新网格只是把高驱动过载区展示得更完整。</w:t>
      </w:r>
    </w:p>
    <w:p>
      <w:pPr>
        <w:numPr>
          <w:ilvl w:val="0"/>
          <w:numId w:val="1002"/>
        </w:numPr>
        <w:pStyle w:val="Compact"/>
      </w:pPr>
      <w:r>
        <w:t xml:space="preserve">尾部分布仍不应解读为严格 SOC：高 c 下可能出现重尾或大事件，但事件间隔、lag-1 相关和 early/late 漂移显示它更接近持续失败/过载吸引子。</w:t>
      </w:r>
    </w:p>
    <w:bookmarkEnd w:id="21"/>
    <w:bookmarkStart w:id="22" w:name="高低-c-区间差异"/>
    <w:p>
      <w:pPr>
        <w:pStyle w:val="Heading2"/>
      </w:pPr>
      <w:r>
        <w:t xml:space="preserve">高低 c 区间差异</w:t>
      </w:r>
    </w:p>
    <w:p>
      <w:pPr>
        <w:pStyle w:val="FirstParagraph"/>
      </w:pPr>
      <w:r>
        <w:t xml:space="preserve">下面把</w:t>
      </w:r>
      <w:r>
        <w:t xml:space="preserve"> </w:t>
      </w:r>
      <w:r>
        <w:rPr>
          <w:rStyle w:val="VerbatimChar"/>
        </w:rPr>
        <w:t xml:space="preserve">c&lt;=0.20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c&gt;=0.50</w:t>
      </w:r>
      <w:r>
        <w:t xml:space="preserve"> </w:t>
      </w:r>
      <w:r>
        <w:t xml:space="preserve">做粗分组比较：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events_per_run_ratio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large_event_rate_delta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mean_size_ratio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0.429</w:t>
            </w:r>
          </w:p>
        </w:tc>
      </w:tr>
    </w:tbl>
    <w:bookmarkEnd w:id="22"/>
    <w:bookmarkStart w:id="23" w:name="新网格逐点汇总"/>
    <w:p>
      <w:pPr>
        <w:pStyle w:val="Heading2"/>
      </w:pPr>
      <w:r>
        <w:t xml:space="preserve">新网格逐点汇总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mean_events_per_run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wait_equal_1_fraction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late_over_early_event_rate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1.005</w:t>
            </w:r>
          </w:p>
        </w:tc>
      </w:tr>
    </w:tbl>
    <w:bookmarkEnd w:id="23"/>
    <w:bookmarkStart w:id="24" w:name="c0.20-新旧重复对照"/>
    <w:p>
      <w:pPr>
        <w:pStyle w:val="Heading2"/>
      </w:pPr>
      <w:r>
        <w:t xml:space="preserve">c=0.20 新旧重复对照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relative_delta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mean_events_per_run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wait_equal_1_fraction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mean_events_per_run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wait_equal_1_fraction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24"/>
    <w:bookmarkStart w:id="25" w:name="单调趋势检查"/>
    <w:p>
      <w:pPr>
        <w:pStyle w:val="Heading2"/>
      </w:pPr>
      <w:r>
        <w:t xml:space="preserve">单调趋势检查</w:t>
      </w:r>
    </w:p>
    <w:p>
      <w:pPr>
        <w:pStyle w:val="FirstParagraph"/>
      </w:pPr>
      <w:r>
        <w:t xml:space="preserve">Spearman 相关只用于描述新网格内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与指标的单调关系，不是机制证明。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mean_events_per_run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wait_equal_1_fraction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mean_events_per_run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event_large_event_rate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mean_event_size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propagated_share_of_total_size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wait_equal_1_fraction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</w:tbl>
    <w:bookmarkEnd w:id="25"/>
    <w:bookmarkStart w:id="26" w:name="尾部拟合摘要"/>
    <w:p>
      <w:pPr>
        <w:pStyle w:val="Heading2"/>
      </w:pPr>
      <w:r>
        <w:t xml:space="preserve">尾部拟合摘要</w:t>
      </w:r>
    </w:p>
    <w:p>
      <w:pPr>
        <w:pStyle w:val="FirstParagraph"/>
      </w:pPr>
      <w:r>
        <w:t xml:space="preserve">尾部拟合使用自动</w:t>
      </w:r>
      <w:r>
        <w:t xml:space="preserve"> </w:t>
      </w:r>
      <w:r>
        <w:rPr>
          <w:rStyle w:val="VerbatimChar"/>
        </w:rPr>
        <w:t xml:space="preserve">xmin</w:t>
      </w:r>
      <w:r>
        <w:t xml:space="preserve"> </w:t>
      </w:r>
      <w:r>
        <w:t xml:space="preserve">的离散幂律与有限支持幂律，并给出 exponential/lognormal 的描述性对照。这里的 bootstrap 次数为 40，只作为本次重扫的快速诊断，不等同于完整最终审计。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money_distribution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bounded_bootstrap_p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pl_vs_exponential_R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pl_vs_lognormal_R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15286.0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17894.0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15186.0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17644.0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17929.0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</w:tr>
    </w:tbl>
    <w:bookmarkEnd w:id="26"/>
    <w:bookmarkStart w:id="42" w:name="图表"/>
    <w:p>
      <w:pPr>
        <w:pStyle w:val="Heading2"/>
      </w:pPr>
      <w:r>
        <w:t xml:space="preserve">图表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transition" title="" id="28" name="Picture"/>
            <a:graphic>
              <a:graphicData uri="http://schemas.openxmlformats.org/drawingml/2006/picture">
                <pic:pic>
                  <pic:nvPicPr>
                    <pic:cNvPr descr="../results/credit_soc_high_c_rescan_analysis_20260605_v1/high_c_transition_metric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transition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decomposition" title="" id="31" name="Picture"/>
            <a:graphic>
              <a:graphicData uri="http://schemas.openxmlformats.org/drawingml/2006/picture">
                <pic:pic>
                  <pic:nvPicPr>
                    <pic:cNvPr descr="../results/credit_soc_high_c_rescan_analysis_20260605_v1/high_c_trigger_decomposi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decomposition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temporal" title="" id="34" name="Picture"/>
            <a:graphic>
              <a:graphicData uri="http://schemas.openxmlformats.org/drawingml/2006/picture">
                <pic:pic>
                  <pic:nvPicPr>
                    <pic:cNvPr descr="../results/credit_soc_high_c_rescan_analysis_20260605_v1/high_c_temporal_diagnostic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temporal</w:t>
      </w:r>
    </w:p>
    <w:p>
      <w:pPr>
        <w:pStyle w:val="CaptionedFigure"/>
      </w:pPr>
      <w:r>
        <w:drawing>
          <wp:inline>
            <wp:extent cx="5334000" cy="2311400"/>
            <wp:effectExtent b="0" l="0" r="0" t="0"/>
            <wp:docPr descr="old_new" title="" id="37" name="Picture"/>
            <a:graphic>
              <a:graphicData uri="http://schemas.openxmlformats.org/drawingml/2006/picture">
                <pic:pic>
                  <pic:nvPicPr>
                    <pic:cNvPr descr="../results/credit_soc_high_c_rescan_analysis_20260605_v1/old_vs_new_c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old_new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tail" title="" id="40" name="Picture"/>
            <a:graphic>
              <a:graphicData uri="http://schemas.openxmlformats.org/drawingml/2006/picture">
                <pic:pic>
                  <pic:nvPicPr>
                    <pic:cNvPr descr="../results/credit_soc_high_c_rescan_analysis_20260605_v1/high_c_tail_fi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</w:t>
      </w:r>
    </w:p>
    <w:bookmarkEnd w:id="42"/>
    <w:bookmarkStart w:id="43" w:name="解释边界"/>
    <w:p>
      <w:pPr>
        <w:pStyle w:val="Heading2"/>
      </w:pPr>
      <w:r>
        <w:t xml:space="preserve">解释边界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不是实际投资支出比例；它通过</w:t>
      </w:r>
      <w:r>
        <w:t xml:space="preserve"> </w:t>
      </w:r>
      <w:r>
        <w:rPr>
          <w:rStyle w:val="VerbatimChar"/>
        </w:rPr>
        <w:t xml:space="preserve">K_t=round(cY_(t-1))</w:t>
      </w:r>
      <w:r>
        <w:t xml:space="preserve"> </w:t>
      </w:r>
      <w:r>
        <w:t xml:space="preserve">改变每次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前计划执行的单位信贷尝试数。</w:t>
      </w:r>
    </w:p>
    <w:p>
      <w:pPr>
        <w:numPr>
          <w:ilvl w:val="0"/>
          <w:numId w:val="1003"/>
        </w:numPr>
        <w:pStyle w:val="Compact"/>
      </w:pPr>
      <w:r>
        <w:t xml:space="preserve">高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同时增加信贷积累和检查间隔，不能把结果解释为单独改变“加载速度”。</w:t>
      </w:r>
    </w:p>
    <w:p>
      <w:pPr>
        <w:numPr>
          <w:ilvl w:val="0"/>
          <w:numId w:val="1003"/>
        </w:numPr>
        <w:pStyle w:val="Compact"/>
      </w:pPr>
      <w:r>
        <w:t xml:space="preserve">本报告没有新增有限尺寸缩放、机制消融或 drive/check-frequency 解耦实验；因此它能回答“新 c 网格和旧网格有什么差异”，不能单独推翻或证明严格 SOC。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2026-06-05T10:54:07Z</dcterms:created>
  <dcterms:modified xsi:type="dcterms:W3CDTF">2026-06-05T10:54:07Z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