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4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高-c-收入内生信贷网络-soc-验证补充报告"/>
    <w:p>
      <w:pPr>
        <w:pStyle w:val="Heading1"/>
      </w:pPr>
      <w:r>
        <w:t xml:space="preserve">高 c 收入内生信贷网络 SOC 验证补充报告</w:t>
      </w:r>
    </w:p>
    <w:p>
      <w:pPr>
        <w:pStyle w:val="FirstParagraph"/>
      </w:pPr>
      <w:r>
        <w:t xml:space="preserve">生成时间：2026-06-05 23:02:03 CST</w:t>
      </w:r>
    </w:p>
    <w:bookmarkStart w:id="20" w:name="目标"/>
    <w:p>
      <w:pPr>
        <w:pStyle w:val="Heading2"/>
      </w:pPr>
      <w:r>
        <w:t xml:space="preserve">目标</w:t>
      </w:r>
    </w:p>
    <w:p>
      <w:pPr>
        <w:pStyle w:val="FirstParagraph"/>
      </w:pPr>
      <w:r>
        <w:t xml:space="preserve">上一轮</w:t>
      </w:r>
      <w:r>
        <w:t xml:space="preserve"> </w:t>
      </w:r>
      <w:r>
        <w:rPr>
          <w:rStyle w:val="VerbatimChar"/>
        </w:rPr>
        <w:t xml:space="preserve">c=0.10-0.80</w:t>
      </w:r>
      <w:r>
        <w:t xml:space="preserve"> </w:t>
      </w:r>
      <w:r>
        <w:t xml:space="preserve">重扫显示，高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会产生稳定的大级联。这里继续补齐 SOC 验证所需的关键证据门槛：有限尺寸缩放、长时平稳性、尾部拟合和触发机制解释。</w:t>
      </w:r>
    </w:p>
    <w:bookmarkEnd w:id="20"/>
    <w:bookmarkStart w:id="21" w:name="新增实验"/>
    <w:p>
      <w:pPr>
        <w:pStyle w:val="Heading2"/>
      </w:pPr>
      <w:r>
        <w:t xml:space="preserve">新增实验</w:t>
      </w:r>
    </w:p>
    <w:p>
      <w:pPr>
        <w:numPr>
          <w:ilvl w:val="0"/>
          <w:numId w:val="1001"/>
        </w:numPr>
        <w:pStyle w:val="Compact"/>
      </w:pPr>
      <w:r>
        <w:t xml:space="preserve">有限尺寸：</w:t>
      </w:r>
      <w:r>
        <w:rPr>
          <w:rStyle w:val="VerbatimChar"/>
        </w:rPr>
        <w:t xml:space="preserve">N=100/200/500</w:t>
      </w:r>
      <w:r>
        <w:t xml:space="preserve">，</w:t>
      </w:r>
      <w:r>
        <w:rPr>
          <w:rStyle w:val="VerbatimChar"/>
        </w:rPr>
        <w:t xml:space="preserve">c=0.30/0.50/0.80</w:t>
      </w:r>
      <w:r>
        <w:t xml:space="preserve">，lognormal/pareto，两种分布各 24 次重复、240 period，共 432 runs、102094 events。</w:t>
      </w:r>
    </w:p>
    <w:p>
      <w:pPr>
        <w:numPr>
          <w:ilvl w:val="0"/>
          <w:numId w:val="1001"/>
        </w:numPr>
        <w:pStyle w:val="Compact"/>
      </w:pPr>
      <w:r>
        <w:t xml:space="preserve">长时平稳性：</w:t>
      </w:r>
      <w:r>
        <w:rPr>
          <w:rStyle w:val="VerbatimChar"/>
        </w:rPr>
        <w:t xml:space="preserve">N=200</w:t>
      </w:r>
      <w:r>
        <w:t xml:space="preserve">，</w:t>
      </w:r>
      <w:r>
        <w:rPr>
          <w:rStyle w:val="VerbatimChar"/>
        </w:rPr>
        <w:t xml:space="preserve">c=0.30/0.50/0.80</w:t>
      </w:r>
      <w:r>
        <w:t xml:space="preserve">，lognormal/pareto，各 8 次重复、1200 period，共 48 runs、57418 events。</w:t>
      </w:r>
    </w:p>
    <w:p>
      <w:pPr>
        <w:numPr>
          <w:ilvl w:val="0"/>
          <w:numId w:val="1001"/>
        </w:numPr>
        <w:pStyle w:val="Compact"/>
      </w:pPr>
      <w:r>
        <w:t xml:space="preserve">尾部拟合沿用高 c 重扫分析中的自动</w:t>
      </w:r>
      <w:r>
        <w:t xml:space="preserve"> </w:t>
      </w:r>
      <w:r>
        <w:rPr>
          <w:rStyle w:val="VerbatimChar"/>
        </w:rPr>
        <w:t xml:space="preserve">xmin</w:t>
      </w:r>
      <w:r>
        <w:t xml:space="preserve"> </w:t>
      </w:r>
      <w:r>
        <w:t xml:space="preserve">离散幂律、有限支持幂律、exponential/lognormal 对照。</w:t>
      </w:r>
    </w:p>
    <w:bookmarkEnd w:id="21"/>
    <w:bookmarkStart w:id="22" w:name="结论"/>
    <w:p>
      <w:pPr>
        <w:pStyle w:val="Heading2"/>
      </w:pPr>
      <w:r>
        <w:t xml:space="preserve">结论</w:t>
      </w:r>
    </w:p>
    <w:p>
      <w:pPr>
        <w:pStyle w:val="FirstParagraph"/>
      </w:pPr>
      <w:r>
        <w:t xml:space="preserve">当前高 c 扩展仍</w:t>
      </w:r>
      <w:r>
        <w:rPr>
          <w:bCs/>
          <w:b/>
        </w:rPr>
        <w:t xml:space="preserve">不支持严格 SOC</w:t>
      </w:r>
      <w:r>
        <w:t xml:space="preserve">。结论不是因为没有大级联；相反，大级联非常稳健。失败点在于：</w:t>
      </w:r>
    </w:p>
    <w:p>
      <w:pPr>
        <w:numPr>
          <w:ilvl w:val="0"/>
          <w:numId w:val="1002"/>
        </w:numPr>
        <w:pStyle w:val="Compact"/>
      </w:pPr>
      <w:r>
        <w:t xml:space="preserve">高 c 区域是外生驱动造成的持续过载：</w:t>
      </w:r>
      <w:r>
        <w:rPr>
          <w:rStyle w:val="VerbatimChar"/>
        </w:rPr>
        <w:t xml:space="preserve">c&gt;=0.50</w:t>
      </w:r>
      <w:r>
        <w:t xml:space="preserve"> </w:t>
      </w:r>
      <w:r>
        <w:t xml:space="preserve">的平均事件级大级联率为 0.990。</w:t>
      </w:r>
    </w:p>
    <w:p>
      <w:pPr>
        <w:numPr>
          <w:ilvl w:val="0"/>
          <w:numId w:val="1002"/>
        </w:numPr>
        <w:pStyle w:val="Compact"/>
      </w:pPr>
      <w:r>
        <w:t xml:space="preserve">有限尺寸中</w:t>
      </w:r>
      <w:r>
        <w:t xml:space="preserve"> </w:t>
      </w:r>
      <w:r>
        <w:rPr>
          <w:rStyle w:val="VerbatimChar"/>
        </w:rPr>
        <w:t xml:space="preserve">mean_size</w:t>
      </w:r>
      <w:r>
        <w:t xml:space="preserve"> </w:t>
      </w:r>
      <w:r>
        <w:t xml:space="preserve">近似按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线性放大，而</w:t>
      </w:r>
      <w:r>
        <w:t xml:space="preserve"> </w:t>
      </w:r>
      <w:r>
        <w:rPr>
          <w:rStyle w:val="VerbatimChar"/>
        </w:rPr>
        <w:t xml:space="preserve">mean_size/N</w:t>
      </w:r>
      <w:r>
        <w:t xml:space="preserve"> </w:t>
      </w:r>
      <w:r>
        <w:t xml:space="preserve">基本不随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变化，说明是广延同步失败，不是稀疏 avalanche cutoff 的临界扩展。</w:t>
      </w:r>
    </w:p>
    <w:p>
      <w:pPr>
        <w:numPr>
          <w:ilvl w:val="0"/>
          <w:numId w:val="1002"/>
        </w:numPr>
        <w:pStyle w:val="Compact"/>
      </w:pPr>
      <w:r>
        <w:t xml:space="preserve">长时 late window 的 avalanche occupancy 为 1.000-1.000，几乎每期都发生事件，破坏慢驱快崩分离。</w:t>
      </w:r>
    </w:p>
    <w:p>
      <w:pPr>
        <w:numPr>
          <w:ilvl w:val="0"/>
          <w:numId w:val="1002"/>
        </w:numPr>
        <w:pStyle w:val="Compact"/>
      </w:pPr>
      <w:r>
        <w:t xml:space="preserve">late repeated-default share 为 0.972-0.987，尾部和大事件强烈依赖重复违约状态。</w:t>
      </w:r>
    </w:p>
    <w:p>
      <w:pPr>
        <w:numPr>
          <w:ilvl w:val="0"/>
          <w:numId w:val="1002"/>
        </w:numPr>
        <w:pStyle w:val="Compact"/>
      </w:pPr>
      <w:r>
        <w:t xml:space="preserve">尾部拟合即使在部分场景不拒绝幂律，也不具备跨 c、跨分布、跨 N 的普适性；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范围为 6.08-40.22。</w:t>
      </w:r>
    </w:p>
    <w:bookmarkEnd w:id="22"/>
    <w:bookmarkStart w:id="23" w:name="证据门槛"/>
    <w:p>
      <w:pPr>
        <w:pStyle w:val="Heading2"/>
      </w:pPr>
      <w:r>
        <w:t xml:space="preserve">证据门槛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稳健大级联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c&gt;=0.50 的平均事件级大级联率为 0.990，平均事件规模为 59.60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幂律尾部可接受性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 xmin 下无界 bootstrap p&gt;=0.10 的场景占 0.44，有限支持 p&gt;=0.10 占 0.50；alpha 范围 6.08-40.22，不具普适性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有限尺寸临界缩放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mean_size 对 N 的斜率约为 1，但 mean_size/N 的斜率接近 0；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cutoff 相对规模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p99/N 的斜率多为负或近 0，中位数 -0.098；相对 cutoff 没有 SOC 所需的清晰增长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慢驱快崩/时间分离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长时 late avalanche occupancy 范围 1.000-1.000，几乎每期发生事件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平稳性与重复违约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repeated-default share 范围 0.972-0.987，事件主要来自重复违约状态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非调参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 c 网格表现为从低/中驱动到过载区的外生参数扫描；系统没有在无需调参的稀疏临界态附近自组织</w:t>
            </w:r>
          </w:p>
        </w:tc>
      </w:tr>
    </w:tbl>
    <w:bookmarkEnd w:id="23"/>
    <w:bookmarkStart w:id="24" w:name="有限尺寸结果"/>
    <w:p>
      <w:pPr>
        <w:pStyle w:val="Heading2"/>
      </w:pPr>
      <w:r>
        <w:t xml:space="preserve">有限尺寸结果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event_large_event_rate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mean_size_fraction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propagated_share_of_total_size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</w:t>
            </w:r>
          </w:p>
        </w:tc>
      </w:tr>
    </w:tbl>
    <w:bookmarkEnd w:id="24"/>
    <w:bookmarkStart w:id="25" w:name="有限尺寸斜率"/>
    <w:p>
      <w:pPr>
        <w:pStyle w:val="Heading2"/>
      </w:pPr>
      <w:r>
        <w:t xml:space="preserve">有限尺寸斜率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log_log_slope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r_squared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mean_size_fraction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mean_size_fraction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mean_size_fraction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mean_size_fraction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mean_size_fraction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mean_size_fraction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0.924</w:t>
            </w:r>
          </w:p>
        </w:tc>
      </w:tr>
    </w:tbl>
    <w:bookmarkEnd w:id="25"/>
    <w:bookmarkStart w:id="26" w:name="长时平稳性"/>
    <w:p>
      <w:pPr>
        <w:pStyle w:val="Heading2"/>
      </w:pPr>
      <w:r>
        <w:t xml:space="preserve">长时平稳性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early_occupancy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late_occupancy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late_over_early_mean_size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late_repeated_default_share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late_active_credit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late_gini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</w:tr>
    </w:tbl>
    <w:bookmarkEnd w:id="26"/>
    <w:bookmarkStart w:id="27" w:name="尾部拟合摘要"/>
    <w:p>
      <w:pPr>
        <w:pStyle w:val="Heading2"/>
      </w:pPr>
      <w:r>
        <w:t xml:space="preserve">尾部拟合摘要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bounded_alpha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bounded_bootstrap_p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pl_vs_exponential_R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pl_vs_lognormal_R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-4.635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-0.032</w:t>
            </w:r>
          </w:p>
        </w:tc>
      </w:tr>
    </w:tbl>
    <w:bookmarkEnd w:id="27"/>
    <w:bookmarkStart w:id="37" w:name="图表"/>
    <w:p>
      <w:pPr>
        <w:pStyle w:val="Heading2"/>
      </w:pPr>
      <w:r>
        <w:t xml:space="preserve">图表</w:t>
      </w:r>
    </w:p>
    <w:p>
      <w:pPr>
        <w:pStyle w:val="CaptionedFigure"/>
      </w:pPr>
      <w:r>
        <w:drawing>
          <wp:inline>
            <wp:extent cx="5334000" cy="3911600"/>
            <wp:effectExtent b="0" l="0" r="0" t="0"/>
            <wp:docPr descr="finite" title="" id="29" name="Picture"/>
            <a:graphic>
              <a:graphicData uri="http://schemas.openxmlformats.org/drawingml/2006/picture">
                <pic:pic>
                  <pic:nvPicPr>
                    <pic:cNvPr descr="../results/credit_soc_high_c_soc_validation_20260605_v1/high_c_finite_size_soc_validati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finite</w:t>
      </w:r>
    </w:p>
    <w:p>
      <w:pPr>
        <w:pStyle w:val="CaptionedFigure"/>
      </w:pPr>
      <w:r>
        <w:drawing>
          <wp:inline>
            <wp:extent cx="5334000" cy="3911600"/>
            <wp:effectExtent b="0" l="0" r="0" t="0"/>
            <wp:docPr descr="stationarity" title="" id="32" name="Picture"/>
            <a:graphic>
              <a:graphicData uri="http://schemas.openxmlformats.org/drawingml/2006/picture">
                <pic:pic>
                  <pic:nvPicPr>
                    <pic:cNvPr descr="../results/credit_soc_high_c_soc_validation_20260605_v1/high_c_stationarity_soc_validat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stationarity</w:t>
      </w:r>
    </w:p>
    <w:p>
      <w:pPr>
        <w:pStyle w:val="CaptionedFigure"/>
      </w:pPr>
      <w:r>
        <w:drawing>
          <wp:inline>
            <wp:extent cx="5334000" cy="2864555"/>
            <wp:effectExtent b="0" l="0" r="0" t="0"/>
            <wp:docPr descr="gates" title="" id="35" name="Picture"/>
            <a:graphic>
              <a:graphicData uri="http://schemas.openxmlformats.org/drawingml/2006/picture">
                <pic:pic>
                  <pic:nvPicPr>
                    <pic:cNvPr descr="../results/credit_soc_high_c_soc_validation_20260605_v1/high_c_soc_evidence_gat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gates</w:t>
      </w:r>
    </w:p>
    <w:bookmarkEnd w:id="37"/>
    <w:bookmarkStart w:id="38" w:name="判定"/>
    <w:p>
      <w:pPr>
        <w:pStyle w:val="Heading2"/>
      </w:pPr>
      <w:r>
        <w:t xml:space="preserve">判定</w:t>
      </w:r>
    </w:p>
    <w:p>
      <w:pPr>
        <w:pStyle w:val="FirstParagraph"/>
      </w:pPr>
      <w:r>
        <w:t xml:space="preserve">高 c 扫描验证了“稳健大级联”和“过载转变”，但没有验证严格 SOC。更准确的表述是：</w:t>
      </w:r>
    </w:p>
    <w:p>
      <w:pPr>
        <w:pStyle w:val="BlockText"/>
      </w:pPr>
      <w:r>
        <w:t xml:space="preserve">在当前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收入内生信贷网络机制下，扩大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会把系统推入高占用、重复违约、广延规模同步失败的过载吸引子；这不是无需精细调参的自组织临界态。</w:t>
      </w:r>
    </w:p>
    <w:bookmarkEnd w:id="38"/>
    <w:bookmarkStart w:id="39" w:name="局限"/>
    <w:p>
      <w:pPr>
        <w:pStyle w:val="Heading2"/>
      </w:pPr>
      <w:r>
        <w:t xml:space="preserve">局限</w:t>
      </w:r>
    </w:p>
    <w:p>
      <w:pPr>
        <w:numPr>
          <w:ilvl w:val="0"/>
          <w:numId w:val="1003"/>
        </w:numPr>
        <w:pStyle w:val="Compact"/>
      </w:pPr>
      <w:r>
        <w:t xml:space="preserve">本轮有限尺寸使用</w:t>
      </w:r>
      <w:r>
        <w:t xml:space="preserve"> </w:t>
      </w:r>
      <w:r>
        <w:rPr>
          <w:rStyle w:val="VerbatimChar"/>
        </w:rPr>
        <w:t xml:space="preserve">N=100/200/500</w:t>
      </w:r>
      <w:r>
        <w:t xml:space="preserve"> </w:t>
      </w:r>
      <w:r>
        <w:t xml:space="preserve">三个规模，足以识别广延过载；若要估计更细的指数，可追加</w:t>
      </w:r>
      <w:r>
        <w:t xml:space="preserve"> </w:t>
      </w:r>
      <w:r>
        <w:rPr>
          <w:rStyle w:val="VerbatimChar"/>
        </w:rPr>
        <w:t xml:space="preserve">N=1000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本轮没有重新做高 c 下的 settlement/check-frequency 解耦机制实验；但高 c 已经在有限尺寸和平稳性门槛上失败，因此不会改变严格 SOC 的当前判定。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2026-06-05T15:02:47Z</dcterms:created>
  <dcterms:modified xsi:type="dcterms:W3CDTF">2026-06-05T15:02:47Z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