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20.png" ContentType="image/png"/>
  <Override PartName="/word/media/rId31.png" ContentType="image/png"/>
  <Override PartName="/word/media/rId74.png" ContentType="image/png"/>
  <Override PartName="/word/media/rId61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64.png" ContentType="image/png"/>
  <Override PartName="/word/media/rId70.png" ContentType="image/png"/>
  <Override PartName="/word/media/rId67.png" ContentType="image/png"/>
  <Override PartName="/word/media/rId51.png" ContentType="image/png"/>
  <Override PartName="/word/media/rId48.png" ContentType="image/png"/>
  <Override PartName="/word/media/rId38.png" ContentType="image/png"/>
  <Override PartName="/word/media/rId41.png" ContentType="image/png"/>
  <Override PartName="/word/media/rId55.png" ContentType="image/png"/>
  <Override PartName="/word/media/rId58.png" ContentType="image/png"/>
  <Override PartName="/word/media/rId35.png" ContentType="image/png"/>
  <Override PartName="/word/media/rId95.png" ContentType="image/png"/>
  <Override PartName="/word/media/rId104.png" ContentType="image/png"/>
  <Override PartName="/word/media/rId101.png" ContentType="image/png"/>
  <Override PartName="/word/media/rId71.png" ContentType="image/png"/>
  <Override PartName="/word/media/rId49.png" ContentType="image/png"/>
  <Override PartName="/word/media/rId52.png" ContentType="image/png"/>
  <Override PartName="/word/media/rId111.png" ContentType="image/png"/>
  <Override PartName="/word/media/rId115.png" ContentType="image/png"/>
  <Override PartName="/word/media/rId92.png" ContentType="image/png"/>
  <Override PartName="/word/media/rId68.png" ContentType="image/png"/>
  <Override PartName="/word/media/rId8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5" w:name="信贷网络-phase-2-严格-soc-综合证据报告-v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信贷网络 Phase-2 严格 SOC 综合证据报告 v1</w:t>
      </w:r>
    </w:p>
    <w:p>
      <w:pPr>
        <w:pStyle w:val="FirstParagraph"/>
      </w:pPr>
      <w:r>
        <w:t xml:space="preserve">生成时间：2026-06-04 13:27:08 CST</w:t>
      </w:r>
      <w:r>
        <w:br/>
      </w:r>
      <w:r>
        <w:t xml:space="preserve">报告定位：综合审计与主协调器最终判定输入；不覆盖任何旧报告。</w:t>
      </w:r>
    </w:p>
    <w:bookmarkStart w:id="23" w:name="执行摘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执行摘要</w:t>
      </w:r>
    </w:p>
    <w:p>
      <w:pPr>
        <w:pStyle w:val="FirstParagraph"/>
      </w:pPr>
      <w:r>
        <w:t xml:space="preserve">综合工作判定为：当前已实现 baseline、已扫描参数邻域与已测机制不支持严格 SOC。系统支持级联交叉和机制敏感的重尾现象，但高风险状态更符合非平稳、重复违约、低活跃信贷的持续失败/过载吸引子。最终判定权归主协调器。</w:t>
      </w:r>
    </w:p>
    <w:p>
      <w:pPr>
        <w:pStyle w:val="BodyText"/>
      </w:pPr>
      <w:r>
        <w:t xml:space="preserve">必须严格区分以下 claim ladder：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当前证据结论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 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已观察到，但</w:t>
            </w:r>
            <w:r>
              <w:t xml:space="preserve"> </w:t>
            </w:r>
            <w:r>
              <w:rPr>
                <w:rStyle w:val="VerbatimChar"/>
              </w:rPr>
              <w:t xml:space="preserve">critical_event</w:t>
            </w:r>
            <w:r>
              <w:t xml:space="preserve"> </w:t>
            </w:r>
            <w:r>
              <w:t xml:space="preserve">只是达到人工阈值的标签。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可重复级联转变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与收入内生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均观察到宽而随机的稳定区到持续失败区交叉。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多个场景有重尾迹象，但尾部对机制、窗口、参数和时间状态敏感。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可接受幂律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 pooled series 不拒绝 power law，但替代分布、序列依赖和非平稳性使其不足以晋级。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严格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当前联合证据未满足；不能由大事件、log-log 图、单个 alpha 或绝对 cutoff 标度单独推出。</w:t>
            </w:r>
          </w:p>
        </w:tc>
      </w:tr>
    </w:tbl>
    <w:p>
      <w:pPr>
        <w:pStyle w:val="BodyText"/>
      </w:pPr>
      <w:r>
        <w:t xml:space="preserve">本报告不把高 occupancy 或</w:t>
      </w:r>
      <w:r>
        <w:t xml:space="preserve"> </w:t>
      </w:r>
      <w:r>
        <w:rPr>
          <w:rStyle w:val="VerbatimChar"/>
        </w:rPr>
        <w:t xml:space="preserve">P(wait=1)</w:t>
      </w:r>
      <w:r>
        <w:t xml:space="preserve"> </w:t>
      </w:r>
      <w:r>
        <w:t xml:space="preserve">单独当作 SOC 反证。级联内部确实暂停驱动，但基线在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前可批量加载</w:t>
      </w:r>
      <w:r>
        <w:t xml:space="preserve"> </w:t>
      </w:r>
      <w:r>
        <w:rPr>
          <w:rStyle w:val="VerbatimChar"/>
        </w:rPr>
        <w:t xml:space="preserve">K&gt;1</w:t>
      </w:r>
      <w:r>
        <w:t xml:space="preserve"> </w:t>
      </w:r>
      <w:r>
        <w:t xml:space="preserve">次信贷尝试；最终解释依赖 occupancy、lag-1、非平稳漂移、</w:t>
      </w:r>
      <w:r>
        <w:t xml:space="preserve"> </w:t>
      </w:r>
      <w:r>
        <w:t xml:space="preserve">重复违约、退化终态、替代尾部、机制消融和 initial-default 广延增长的联合证据。</w:t>
      </w:r>
    </w:p>
    <w:p>
      <w:pPr>
        <w:pStyle w:val="CaptionedFigure"/>
      </w:pPr>
      <w:r>
        <w:drawing>
          <wp:inline>
            <wp:extent cx="4907280" cy="3914734"/>
            <wp:effectExtent b="0" l="0" r="0" t="0"/>
            <wp:docPr descr="SOC evidence-gate 综合矩阵" title="" id="21" name="Picture"/>
            <a:graphic>
              <a:graphicData uri="http://schemas.openxmlformats.org/drawingml/2006/picture">
                <pic:pic>
                  <pic:nvPicPr>
                    <pic:cNvPr descr="../results/credit_soc_phase2_comprehensive_20260604_v1/soc_evidence_gate_matrix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914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SOC evidence-gate 综合矩阵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出现大 avalanche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达到人工阈值；仅是最低层级现象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重复种子与邻域中的级联转变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支持宽交叉/转变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重尾迹象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尾部比小事件背景更宽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可接受且优于替代分布的幂律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不稳健；替代尾部常更优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有限尺寸临界传播标度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绝对标度由广延初始违约主导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慢驱动与 avalanche 时间分离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需联合依赖/漂移证据解释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长期平稳临界窗口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见低驱动长期搜索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单一微观触发事件定义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多数 event 为多源同步初始违约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机制稳健的临界统计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事件规模和阈值率对清算窗口敏感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无需窄参数调节的严格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当前联合证据未满足</w:t>
            </w:r>
          </w:p>
        </w:tc>
      </w:tr>
    </w:tbl>
    <w:bookmarkEnd w:id="23"/>
    <w:bookmarkStart w:id="30" w:name="当前模型框架与变量口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当前模型框架与变量口径</w:t>
      </w:r>
    </w:p>
    <w:bookmarkStart w:id="24" w:name="时间层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时间层级</w:t>
      </w:r>
    </w:p>
    <w:p>
      <w:pPr>
        <w:pStyle w:val="SourceCode"/>
      </w:pPr>
      <w:r>
        <w:rPr>
          <w:rStyle w:val="VerbatimChar"/>
        </w:rPr>
        <w:t xml:space="preserve">scenario：固定参数和机制</w:t>
      </w:r>
      <w:r>
        <w:br/>
      </w:r>
      <w:r>
        <w:rPr>
          <w:rStyle w:val="VerbatimChar"/>
        </w:rPr>
        <w:t xml:space="preserve">  -&gt; run：一个随机种子下的独立轨迹</w:t>
      </w:r>
      <w:r>
        <w:br/>
      </w:r>
      <w:r>
        <w:rPr>
          <w:rStyle w:val="VerbatimChar"/>
        </w:rPr>
        <w:t xml:space="preserve">     -&gt; period：一批单位信贷尝试 + 一次期末流量结算和违约检查</w:t>
      </w:r>
      <w:r>
        <w:br/>
      </w:r>
      <w:r>
        <w:rPr>
          <w:rStyle w:val="VerbatimChar"/>
        </w:rPr>
        <w:t xml:space="preserve">        -&gt; time_step：至多成功新增 1 单位信贷暴露的一次尝试</w:t>
      </w:r>
    </w:p>
    <w:p>
      <w:pPr>
        <w:pStyle w:val="FirstParagraph"/>
      </w:pPr>
      <w:r>
        <w:t xml:space="preserve">收入内生协议中：</w:t>
      </w:r>
    </w:p>
    <w:p>
      <w:pPr>
        <w:pStyle w:val="SourceCode"/>
      </w:pPr>
      <w:r>
        <w:rPr>
          <w:rStyle w:val="VerbatimChar"/>
        </w:rPr>
        <w:t xml:space="preserve">K_t = round(c * Y_(t-1))</w:t>
      </w:r>
    </w:p>
    <w:p>
      <w:pPr>
        <w:pStyle w:val="FirstParagraph"/>
      </w:pPr>
      <w:r>
        <w:rPr>
          <w:rStyle w:val="VerbatimChar"/>
        </w:rPr>
        <w:t xml:space="preserve">c</w:t>
      </w:r>
      <w:r>
        <w:t xml:space="preserve"> </w:t>
      </w:r>
      <w:r>
        <w:t xml:space="preserve">对应代码字段</w:t>
      </w:r>
      <w:r>
        <w:t xml:space="preserve"> </w:t>
      </w:r>
      <w:r>
        <w:rPr>
          <w:rStyle w:val="VerbatimChar"/>
        </w:rPr>
        <w:t xml:space="preserve">investment_income_propensity</w:t>
      </w:r>
      <w:r>
        <w:t xml:space="preserve">，是上一期全系统总收入到下一期计划信贷</w:t>
      </w:r>
      <w:r>
        <w:t xml:space="preserve"> </w:t>
      </w:r>
      <w:r>
        <w:t xml:space="preserve">尝试批量的转换系数，不是单笔贷款规模、实际投资支出比例或与检查频率独立的纯加载速度。</w:t>
      </w:r>
      <w:r>
        <w:t xml:space="preserve"> </w:t>
      </w:r>
      <w:r>
        <w:t xml:space="preserve">固定窗口协议直接令</w:t>
      </w:r>
      <w:r>
        <w:t xml:space="preserve"> </w:t>
      </w:r>
      <w:r>
        <w:rPr>
          <w:rStyle w:val="VerbatimChar"/>
        </w:rPr>
        <w:t xml:space="preserve">K_t=K</w:t>
      </w:r>
      <w:r>
        <w:t xml:space="preserve">，此时元数据中的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不参与模拟。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才完成全体节点的</w:t>
      </w:r>
      <w:r>
        <w:t xml:space="preserve"> </w:t>
      </w:r>
      <w:r>
        <w:t xml:space="preserve">流量结算、违约检查和整次级联；即使</w:t>
      </w:r>
      <w:r>
        <w:t xml:space="preserve"> </w:t>
      </w:r>
      <w:r>
        <w:rPr>
          <w:rStyle w:val="VerbatimChar"/>
        </w:rPr>
        <w:t xml:space="preserve">K=1</w:t>
      </w:r>
      <w:r>
        <w:t xml:space="preserve">，仍然存在一次全系统期末流量结算。</w:t>
      </w:r>
    </w:p>
    <w:bookmarkEnd w:id="24"/>
    <w:bookmarkStart w:id="25" w:name="第一层模型参数与协议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第一层：模型参数与协议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参数/协议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准确定义与解释边界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节点数。有限尺寸比较必须保持可比的强度协议，不能跨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固定绝对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后直接解释。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a,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正净资产与上一期个体收入进入计划消费的倾向；实际消费还受随机舍入和现金约束。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investment_income_propensity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上一期总收入到下一期计划信贷尝试批量的转换系数；不是单笔冲击、实际投资比例或纯加载速度。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period_length_rule, K_t, fixed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决定一次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 </w:t>
            </w:r>
            <w:r>
              <w:t xml:space="preserve">前计划多少个 time_step；固定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下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不生效。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income_distribution_rule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uniform</w:t>
            </w:r>
            <w:r>
              <w:t xml:space="preserve"> </w:t>
            </w:r>
            <w:r>
              <w:t xml:space="preserve">或按正净资产加 floor 的</w:t>
            </w:r>
            <w:r>
              <w:t xml:space="preserve"> </w:t>
            </w:r>
            <w:r>
              <w:rPr>
                <w:rStyle w:val="VerbatimChar"/>
              </w:rPr>
              <w:t xml:space="preserve">biased</w:t>
            </w:r>
            <w:r>
              <w:t xml:space="preserve"> </w:t>
            </w:r>
            <w:r>
              <w:t xml:space="preserve">收入再分配规则。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growth_rule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在允许交易的主体对中，动态选择实际有向贷款方向和时点的规则。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固定无向、无权 opportunity graph，限制哪些主体对允许交易；它不同于动态、有向、带权的实际暴露网络和</w:t>
            </w:r>
            <w:r>
              <w:t xml:space="preserve"> </w:t>
            </w:r>
            <w:r>
              <w:rPr>
                <w:rStyle w:val="VerbatimChar"/>
              </w:rPr>
              <w:t xml:space="preserve">growth_rule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default_threshold/check_mode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基线违约为严格</w:t>
            </w:r>
            <w:r>
              <w:t xml:space="preserve"> </w:t>
            </w:r>
            <w:r>
              <w:rPr>
                <w:rStyle w:val="VerbatimChar"/>
              </w:rPr>
              <w:t xml:space="preserve">W_i&lt;0</w:t>
            </w:r>
            <w:r>
              <w:t xml:space="preserve">，并在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 </w:t>
            </w:r>
            <w:r>
              <w:t xml:space="preserve">检查。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collapse_threshold_fraction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大事件的人工分类阈值，只改变标签，不改变传播。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avalanche_protocol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continue_after_avalanche</w:t>
            </w:r>
            <w:r>
              <w:t xml:space="preserve"> </w:t>
            </w:r>
            <w:r>
              <w:t xml:space="preserve">允许同一节点跨期重复违约；stop 协议在首次事件后结束。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wipe_defaulted_assets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是否清除违约节点持有的贷款资产；会改变级联放大。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recovery_rate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目标面值回收比例，不等于代码记录的实际回收量</w:t>
            </w:r>
            <w:r>
              <w:t xml:space="preserve"> </w:t>
            </w:r>
            <w:r>
              <w:rPr>
                <w:rStyle w:val="VerbatimChar"/>
              </w:rPr>
              <w:t xml:space="preserve">actual_recovery_amount</w:t>
            </w:r>
            <w:r>
              <w:t xml:space="preserve">；后者受违约债务人现有现金上限约束。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default_node_mode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continue/exit/reset</w:t>
            </w:r>
            <w:r>
              <w:t xml:space="preserve">；exit 会耗尽参与者，reset 恢复节点现金，并由</w:t>
            </w:r>
            <w:r>
              <w:t xml:space="preserve"> </w:t>
            </w:r>
            <w:r>
              <w:rPr>
                <w:rStyle w:val="VerbatimChar"/>
              </w:rPr>
              <w:t xml:space="preserve">external_reset_cash_flow</w:t>
            </w:r>
            <w:r>
              <w:t xml:space="preserve"> </w:t>
            </w:r>
            <w:r>
              <w:t xml:space="preserve">记录其可正可负的外部现金流。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是否逐期执行会计不变量断言，不改变经济机制。</w:t>
            </w:r>
          </w:p>
        </w:tc>
      </w:tr>
    </w:tbl>
    <w:bookmarkEnd w:id="25"/>
    <w:bookmarkStart w:id="26" w:name="第二层内生存量流量与会计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第二层：内生存量、流量与会计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节点现金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E_ij,t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贷给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的当前未清算有向带权暴露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A_i,t=sum_j E_ij,t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贷款资产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D_i,t=sum_j E_ji,t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债务负债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W_i,t=C_i,t+A_i,t-D_i,t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净资产；违约条件为严格</w:t>
            </w:r>
            <w:r>
              <w:t xml:space="preserve"> </w:t>
            </w:r>
            <w:r>
              <w:rPr>
                <w:rStyle w:val="VerbatimChar"/>
              </w:rPr>
              <w:t xml:space="preserve">&lt;0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Y_i,t, Y_t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个体收入与总收入；总收入等于当期实际总支出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当期成功借入量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I_i,t, X_i,t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受现金约束的实际投资支出和消费支出</w:t>
            </w:r>
          </w:p>
        </w:tc>
      </w:tr>
    </w:tbl>
    <w:p>
      <w:pPr>
        <w:pStyle w:val="BodyText"/>
      </w:pPr>
      <w:r>
        <w:t xml:space="preserve">单位信贷建立使贷款人现金减 1、贷款资产加 1，同时使借款人现金加 1、债务加 1，所以信贷</w:t>
      </w:r>
      <w:r>
        <w:t xml:space="preserve"> </w:t>
      </w:r>
      <w:r>
        <w:t xml:space="preserve">time_step 本身不改变双方净资产。风险主要在期末支出、收入再分配和既有暴露清算中形成。</w:t>
      </w:r>
    </w:p>
    <w:bookmarkEnd w:id="26"/>
    <w:bookmarkStart w:id="27" w:name="第三层事件分解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第三层：事件分解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准确定义与限制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 </w:t>
            </w:r>
            <w:r>
              <w:t xml:space="preserve">流量结算后、网络传播前已经</w:t>
            </w:r>
            <w:r>
              <w:t xml:space="preserve"> </w:t>
            </w:r>
            <w:r>
              <w:rPr>
                <w:rStyle w:val="VerbatimChar"/>
              </w:rPr>
              <w:t xml:space="preserve">W_i&lt;0</w:t>
            </w:r>
            <w:r>
              <w:t xml:space="preserve"> </w:t>
            </w:r>
            <w:r>
              <w:t xml:space="preserve">的同步初始违约节点数。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propagated_default_count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 - initial_default_count</w:t>
            </w:r>
            <w:r>
              <w:t xml:space="preserve">，即传播过程中新增的违约节点数。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single-trigger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initial_default_count=1</w:t>
            </w:r>
            <w:r>
              <w:t xml:space="preserve"> </w:t>
            </w:r>
            <w:r>
              <w:t xml:space="preserve">的记录事件；它只是事件定义诊断，不保证满足其他 SOC 门槛。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本次记录事件最终清算的不同节点数；可能由多个同步 initial defaults 共同触发。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sticky queue 中节点最早被发现的传播代；不是同步物理时间。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duration/generations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非空传播代数，包含初始第 0 代；不同于 period、time_step 或</w:t>
            </w:r>
            <w:r>
              <w:t xml:space="preserve"> </w:t>
            </w:r>
            <w:r>
              <w:rPr>
                <w:rStyle w:val="VerbatimChar"/>
              </w:rPr>
              <w:t xml:space="preserve">cascade_steps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相邻传播代规模比或传播新增数/前序父节点数；是当前顺序清算下的描述量，不是严格临界分支过程的无偏估计。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同一节点跨 period 再次违约产生的重复节点出现次数；会放大事件总量和尾部。</w:t>
            </w:r>
          </w:p>
        </w:tc>
      </w:tr>
    </w:tbl>
    <w:bookmarkEnd w:id="27"/>
    <w:bookmarkStart w:id="28" w:name="第四层统计证据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第四层：统计证据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统计量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准确定义与解释边界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发生记录 event 的 period 占比；高 occupancy 单独不是 SOC 反证。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 /</w:t>
            </w:r>
            <w:r>
              <w:t xml:space="preserve"> </w:t>
            </w:r>
            <w:r>
              <w:rPr>
                <w:rStyle w:val="VerbatimChar"/>
              </w:rPr>
              <w:t xml:space="preserve">P(wait=1)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run 中相邻记录 event 的 period 间隔；不是 avalanche 内部持续时间。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lag-1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内相邻 event size 对汇总后的相关；不跨 run 连接，也不是 period-lag 因果估计。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stationarity /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早晚窗口或时间分位上的分布、规模、频率、active credit、Gini 等是否稳定。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Phase-2 严格离散尾部拟合的自动候选最优下界。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discrete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在自动</w:t>
            </w:r>
            <w:r>
              <w:t xml:space="preserve"> </w:t>
            </w:r>
            <w:r>
              <w:rPr>
                <w:rStyle w:val="VerbatimChar"/>
              </w:rPr>
              <w:t xml:space="preserve">xmin</w:t>
            </w:r>
            <w:r>
              <w:t xml:space="preserve"> </w:t>
            </w:r>
            <w:r>
              <w:t xml:space="preserve">后对离散 power-law 尾部估计的指数。旧框架固定</w:t>
            </w:r>
            <w:r>
              <w:t xml:space="preserve"> </w:t>
            </w:r>
            <w:r>
              <w:rPr>
                <w:rStyle w:val="VerbatimChar"/>
              </w:rPr>
              <w:t xml:space="preserve">xmin=2</w:t>
            </w:r>
            <w:r>
              <w:t xml:space="preserve"> </w:t>
            </w:r>
            <w:r>
              <w:t xml:space="preserve">的连续 Pareto alpha 只是描述性初筛，两者不能混用。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按拟合尾部生成并重新选择</w:t>
            </w:r>
            <w:r>
              <w:t xml:space="preserve"> </w:t>
            </w:r>
            <w:r>
              <w:rPr>
                <w:rStyle w:val="VerbatimChar"/>
              </w:rPr>
              <w:t xml:space="preserve">xmin</w:t>
            </w:r>
            <w:r>
              <w:t xml:space="preserve"> </w:t>
            </w:r>
            <w:r>
              <w:t xml:space="preserve">的 goodness-of-fit；强序列依赖下 event-level p 值仅作诊断。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Vuong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同一尾段上 power law 与 exponential/lognormal 的描述性似然比较；依赖事件下不能当作最终 iid 显著性证明。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bounded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显式使用有限支持</w:t>
            </w:r>
            <w:r>
              <w:t xml:space="preserve"> </w:t>
            </w:r>
            <w:r>
              <w:rPr>
                <w:rStyle w:val="VerbatimChar"/>
              </w:rPr>
              <w:t xml:space="preserve">[xmin,N]</w:t>
            </w:r>
            <w:r>
              <w:t xml:space="preserve"> </w:t>
            </w:r>
            <w:r>
              <w:t xml:space="preserve">的尾部或 P99/矩等 cutoff 描述；绝对 cutoff 随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增长不自动等于临界传播。</w:t>
            </w:r>
          </w:p>
        </w:tc>
      </w:tr>
    </w:tbl>
    <w:bookmarkEnd w:id="28"/>
    <w:bookmarkStart w:id="29" w:name="计划量实际量与统计量不能混用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2.6 计划量、实际量与统计量不能混用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精确定义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period_length_steps=K_t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计划执行的 time_step 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time_steps_completed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实际进入的信贷尝试数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total_credit_issued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累计成功新增的单位暴露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credit_scale_before_cascade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某事件清算前仍活跃的暴露存量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 </w:t>
            </w:r>
            <w:r>
              <w:t xml:space="preserve">记录事件中最终清算的节点数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critical_event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collapse_size/N &gt;= 0.10</w:t>
            </w:r>
            <w:r>
              <w:t xml:space="preserve"> </w:t>
            </w:r>
            <w:r>
              <w:t xml:space="preserve">的人工分类标签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total_collapse_size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内事件规模之和；允许跨期重复计算同一节点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alpha, xmin, KS, Vuong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结果统计和诊断量，不参与模型传播</w:t>
            </w:r>
          </w:p>
        </w:tc>
      </w:tr>
    </w:tbl>
    <w:bookmarkEnd w:id="29"/>
    <w:bookmarkEnd w:id="30"/>
    <w:bookmarkStart w:id="34" w:name="事件定义审计多数-event-不是单一微观触发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事件定义审计：多数 event 不是单一微观触发</w:t>
      </w:r>
    </w:p>
    <w:p>
      <w:pPr>
        <w:pStyle w:val="FirstParagraph"/>
      </w:pPr>
      <w:r>
        <w:t xml:space="preserve">一次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流量结算可以同时产生多个净资产为负的 initial defaults。当前事件记录把这些</w:t>
      </w:r>
      <w:r>
        <w:t xml:space="preserve"> </w:t>
      </w:r>
      <w:r>
        <w:t xml:space="preserve">同步初始违约及其后续传播合并为一次 avalanche，因此记录的 size 分布不能直接等同于经典</w:t>
      </w:r>
      <w:r>
        <w:t xml:space="preserve"> </w:t>
      </w:r>
      <w:r>
        <w:t xml:space="preserve">“</w:t>
      </w:r>
      <w:r>
        <w:t xml:space="preserve">单一微观触发 -&gt; 临界传播</w:t>
      </w:r>
      <w:r>
        <w:t xml:space="preserve">”</w:t>
      </w:r>
      <w:r>
        <w:t xml:space="preserve">的 SOC avalanche 分布。</w:t>
      </w:r>
    </w:p>
    <w:p>
      <w:pPr>
        <w:pStyle w:val="BodyText"/>
      </w:pPr>
      <w:r>
        <w:t xml:space="preserve">收入内生 lognormal 扫描中，</w:t>
      </w:r>
      <w:r>
        <w:rPr>
          <w:rStyle w:val="VerbatimChar"/>
        </w:rPr>
        <w:t xml:space="preserve">P(initial_default_count=1)</w:t>
      </w:r>
      <w:r>
        <w:t xml:space="preserve"> </w:t>
      </w:r>
      <w:r>
        <w:t xml:space="preserve">随</w:t>
      </w:r>
      <w:r>
        <w:t xml:space="preserve"> </w:t>
      </w:r>
      <w:r>
        <w:rPr>
          <w:rStyle w:val="VerbatimChar"/>
        </w:rPr>
        <w:t xml:space="preserve">c=.12 -&gt; .20</w:t>
      </w:r>
      <w:r>
        <w:t xml:space="preserve"> </w:t>
      </w:r>
      <w:r>
        <w:t xml:space="preserve">从约</w:t>
      </w:r>
      <w:r>
        <w:t xml:space="preserve"> </w:t>
      </w:r>
      <w:r>
        <w:rPr>
          <w:rStyle w:val="VerbatimChar"/>
        </w:rPr>
        <w:t xml:space="preserve">0.155</w:t>
      </w:r>
      <w:r>
        <w:t xml:space="preserve"> </w:t>
      </w:r>
      <w:r>
        <w:t xml:space="preserve">下降到</w:t>
      </w:r>
      <w:r>
        <w:t xml:space="preserve"> </w:t>
      </w:r>
      <w:r>
        <w:rPr>
          <w:rStyle w:val="VerbatimChar"/>
        </w:rPr>
        <w:t xml:space="preserve">0.020</w:t>
      </w:r>
      <w:r>
        <w:t xml:space="preserve">；固定 lognormal 扫描中，随</w:t>
      </w:r>
      <w:r>
        <w:t xml:space="preserve"> </w:t>
      </w:r>
      <w:r>
        <w:rPr>
          <w:rStyle w:val="VerbatimChar"/>
        </w:rPr>
        <w:t xml:space="preserve">K=18 -&gt; 26</w:t>
      </w:r>
      <w:r>
        <w:t xml:space="preserve"> </w:t>
      </w:r>
      <w:r>
        <w:t xml:space="preserve">从约</w:t>
      </w:r>
      <w:r>
        <w:t xml:space="preserve"> </w:t>
      </w:r>
      <w:r>
        <w:rPr>
          <w:rStyle w:val="VerbatimChar"/>
        </w:rPr>
        <w:t xml:space="preserve">0.081</w:t>
      </w:r>
      <w:r>
        <w:t xml:space="preserve"> </w:t>
      </w:r>
      <w:r>
        <w:t xml:space="preserve">下降到</w:t>
      </w:r>
      <w:r>
        <w:t xml:space="preserve"> </w:t>
      </w:r>
      <w:r>
        <w:rPr>
          <w:rStyle w:val="VerbatimChar"/>
        </w:rPr>
        <w:t xml:space="preserve">0.037</w:t>
      </w:r>
      <w:r>
        <w:t xml:space="preserve">。</w:t>
      </w:r>
      <w:r>
        <w:t xml:space="preserve"> </w:t>
      </w:r>
      <w:r>
        <w:t xml:space="preserve">传播新增只占总事件规模约</w:t>
      </w:r>
      <w:r>
        <w:t xml:space="preserve"> </w:t>
      </w:r>
      <w:r>
        <w:rPr>
          <w:rStyle w:val="VerbatimChar"/>
        </w:rPr>
        <w:t xml:space="preserve">10%-16%</w:t>
      </w:r>
      <w:r>
        <w:t xml:space="preserve">。更准确的机制描述是：</w:t>
      </w:r>
    </w:p>
    <w:p>
      <w:pPr>
        <w:pStyle w:val="SourceCode"/>
      </w:pPr>
      <w:r>
        <w:rPr>
          <w:rStyle w:val="VerbatimChar"/>
        </w:rPr>
        <w:t xml:space="preserve">period_end 多源同步初始违约 + 通常亚临界的网络传播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P(initial=1)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propagated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propagated/total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0.1543</w:t>
            </w:r>
          </w:p>
        </w:tc>
      </w:tr>
    </w:tbl>
    <w:p>
      <w:pPr>
        <w:pStyle w:val="CaptionedFigure"/>
      </w:pPr>
      <w:r>
        <w:drawing>
          <wp:inline>
            <wp:extent cx="4907280" cy="1977782"/>
            <wp:effectExtent b="0" l="0" r="0" t="0"/>
            <wp:docPr descr="转变扫描中的单触发概率与传播占比" title="" id="32" name="Picture"/>
            <a:graphic>
              <a:graphicData uri="http://schemas.openxmlformats.org/drawingml/2006/picture">
                <pic:pic>
                  <pic:nvPicPr>
                    <pic:cNvPr descr="../results/credit_soc_phase2_comprehensive_20260604_v1/transition_single_trigger_audi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97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转变扫描中的单触发概率与传播占比</w:t>
      </w:r>
    </w:p>
    <w:bookmarkEnd w:id="34"/>
    <w:bookmarkStart w:id="44" w:name="级联转变严格尾部与-claim-ladde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级联转变、严格尾部与 claim ladder</w:t>
      </w:r>
    </w:p>
    <w:p>
      <w:pPr>
        <w:pStyle w:val="FirstParagraph"/>
      </w:pPr>
      <w:r>
        <w:t xml:space="preserve">修正版严格统计目录：</w:t>
      </w:r>
      <w:r>
        <w:rPr>
          <w:rStyle w:val="VerbatimChar"/>
        </w:rPr>
        <w:t xml:space="preserve">/data/WYC/class/creditNet/results/credit_soc_phase2_strict_soc_20260604_v1/analysis_final_v5</w:t>
      </w:r>
      <w:r>
        <w:t xml:space="preserve">。最终方法审计：</w:t>
      </w:r>
      <w:r>
        <w:t xml:space="preserve"> </w:t>
      </w:r>
      <w:r>
        <w:rPr>
          <w:rStyle w:val="VerbatimChar"/>
        </w:rPr>
        <w:t xml:space="preserve">/data/WYC/class/creditNet/results/credit_soc_phase2_strict_soc_20260604_v1/method_audit_final_v4.md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全部 39 个关键 series 中，无界 pure power-law KS bootstrap 不拒绝</w:t>
      </w:r>
      <w:r>
        <w:t xml:space="preserve"> </w:t>
      </w:r>
      <w:r>
        <w:t xml:space="preserve">26 个、拒绝 13 个；bounded</w:t>
      </w:r>
      <w:r>
        <w:t xml:space="preserve"> </w:t>
      </w:r>
      <w:r>
        <w:t xml:space="preserve">power law 不拒绝 27 个、拒绝</w:t>
      </w:r>
      <w:r>
        <w:t xml:space="preserve"> </w:t>
      </w:r>
      <w:r>
        <w:t xml:space="preserve">12 个。</w:t>
      </w:r>
    </w:p>
    <w:p>
      <w:pPr>
        <w:numPr>
          <w:ilvl w:val="0"/>
          <w:numId w:val="1001"/>
        </w:numPr>
        <w:pStyle w:val="Compact"/>
      </w:pPr>
      <w:r>
        <w:t xml:space="preserve">描述性 Vuong 比较中，exponential 显著优于 power law 的 series 为</w:t>
      </w:r>
      <w:r>
        <w:t xml:space="preserve"> </w:t>
      </w:r>
      <w:r>
        <w:t xml:space="preserve">21 个，lognormal 显著优于 power law 的 series 为</w:t>
      </w:r>
      <w:r>
        <w:t xml:space="preserve"> </w:t>
      </w:r>
      <w:r>
        <w:t xml:space="preserve">10 个。全部 39 个</w:t>
      </w:r>
      <w:r>
        <w:t xml:space="preserve"> </w:t>
      </w:r>
      <w:r>
        <w:t xml:space="preserve">lognormal MLE 成功且最终方法审计未发现边界命中。</w:t>
      </w:r>
    </w:p>
    <w:p>
      <w:pPr>
        <w:numPr>
          <w:ilvl w:val="0"/>
          <w:numId w:val="1001"/>
        </w:numPr>
        <w:pStyle w:val="Compact"/>
      </w:pPr>
      <w:r>
        <w:t xml:space="preserve">全部 series 的 alpha 范围为 4.947-27.567；</w:t>
      </w:r>
      <w:r>
        <w:t xml:space="preserve"> </w:t>
      </w:r>
      <w:r>
        <w:t xml:space="preserve">20 个新增</w:t>
      </w:r>
      <w:r>
        <w:t xml:space="preserve"> </w:t>
      </w:r>
      <w:r>
        <w:rPr>
          <w:rStyle w:val="VerbatimChar"/>
        </w:rPr>
        <w:t xml:space="preserve">N=200</w:t>
      </w:r>
      <w:r>
        <w:t xml:space="preserve"> </w:t>
      </w:r>
      <w:r>
        <w:t xml:space="preserve">收入/固定细扫 series 的 alpha 中位数为</w:t>
      </w:r>
      <w:r>
        <w:t xml:space="preserve"> </w:t>
      </w:r>
      <w:r>
        <w:t xml:space="preserve">11.990。指数随参数、seed 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改变，不构成稳定普适指数。</w:t>
      </w:r>
    </w:p>
    <w:p>
      <w:pPr>
        <w:numPr>
          <w:ilvl w:val="0"/>
          <w:numId w:val="1001"/>
        </w:numPr>
        <w:pStyle w:val="Compact"/>
      </w:pPr>
      <w:r>
        <w:t xml:space="preserve">pooled event 存在强时间依赖，event-level iid KS bootstrap 与 Vuong p 值只能作为描述性诊断。</w:t>
      </w:r>
    </w:p>
    <w:p>
      <w:pPr>
        <w:pStyle w:val="CaptionedFigure"/>
      </w:pPr>
      <w:r>
        <w:drawing>
          <wp:inline>
            <wp:extent cx="4907280" cy="3627119"/>
            <wp:effectExtent b="0" l="0" r="0" t="0"/>
            <wp:docPr descr="严格分支：转变区细扫" title="" id="36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transition_fine_sca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严格分支：转变区细扫</w:t>
      </w:r>
    </w:p>
    <w:p>
      <w:pPr>
        <w:pStyle w:val="CaptionedFigure"/>
      </w:pPr>
      <w:r>
        <w:drawing>
          <wp:inline>
            <wp:extent cx="4907280" cy="3755136"/>
            <wp:effectExtent b="0" l="0" r="0" t="0"/>
            <wp:docPr descr="严格分支：power-law 与替代分布比较" title="" id="39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strict_fit_comparis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7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严格分支：power-law 与替代分布比较</w:t>
      </w:r>
    </w:p>
    <w:p>
      <w:pPr>
        <w:pStyle w:val="CaptionedFigure"/>
      </w:pPr>
      <w:r>
        <w:drawing>
          <wp:inline>
            <wp:extent cx="4907280" cy="2453640"/>
            <wp:effectExtent b="0" l="0" r="0" t="0"/>
            <wp:docPr descr="严格分支：power-law GOF" title="" id="42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strict_powerlaw_go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45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严格分支：power-law GOF</w:t>
      </w:r>
    </w:p>
    <w:bookmarkEnd w:id="44"/>
    <w:bookmarkStart w:id="54" w:name="有限尺寸绝对-size-近线性增长不等于传播临界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有限尺寸：绝对 size 近线性增长不等于传播临界</w:t>
      </w:r>
    </w:p>
    <w:p>
      <w:pPr>
        <w:pStyle w:val="FirstParagraph"/>
      </w:pPr>
      <w:r>
        <w:t xml:space="preserve">在保持可比驱动的有限尺寸协议中，绝对平均 size、P99 和矩随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增长。但独立拆解显示：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finite_fixed</w:t>
      </w:r>
      <w:r>
        <w:t xml:space="preserve"> </w:t>
      </w:r>
      <w:r>
        <w:t xml:space="preserve">的传播新增只占总 size</w:t>
      </w:r>
      <w:r>
        <w:t xml:space="preserve"> </w:t>
      </w:r>
      <w:r>
        <w:rPr>
          <w:rStyle w:val="VerbatimChar"/>
        </w:rPr>
        <w:t xml:space="preserve">14.6%-15.0%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finite_income c=.18</w:t>
      </w:r>
      <w:r>
        <w:t xml:space="preserve"> </w:t>
      </w:r>
      <w:r>
        <w:t xml:space="preserve">的传播新增只占总 size</w:t>
      </w:r>
      <w:r>
        <w:t xml:space="preserve"> </w:t>
      </w:r>
      <w:r>
        <w:rPr>
          <w:rStyle w:val="VerbatimChar"/>
        </w:rPr>
        <w:t xml:space="preserve">12.2%-12.8%</w:t>
      </w:r>
      <w:r>
        <w:t xml:space="preserve">；</w:t>
      </w:r>
    </w:p>
    <w:p>
      <w:pPr>
        <w:numPr>
          <w:ilvl w:val="0"/>
          <w:numId w:val="1002"/>
        </w:numPr>
        <w:pStyle w:val="Compact"/>
      </w:pPr>
      <w:r>
        <w:t xml:space="preserve">initial defaults/N 与 propagated defaults/N 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基本不变；</w:t>
      </w:r>
    </w:p>
    <w:p>
      <w:pPr>
        <w:numPr>
          <w:ilvl w:val="0"/>
          <w:numId w:val="1002"/>
        </w:numPr>
        <w:pStyle w:val="Compact"/>
      </w:pPr>
      <w:r>
        <w:t xml:space="preserve">mean total/initial/propagated size 的 log-log 斜率分别约为</w:t>
      </w:r>
      <w:r>
        <w:t xml:space="preserve"> </w:t>
      </w:r>
      <w:r>
        <w:rPr>
          <w:rStyle w:val="VerbatimChar"/>
        </w:rPr>
        <w:t xml:space="preserve">0.972/0.970/0.985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0.983/0.981/1.004</w:t>
      </w:r>
      <w:r>
        <w:t xml:space="preserve">。</w:t>
      </w:r>
    </w:p>
    <w:p>
      <w:pPr>
        <w:pStyle w:val="FirstParagraph"/>
      </w:pPr>
      <w:r>
        <w:t xml:space="preserve">因此，绝对 size 的近线性标度主要来自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同步初始违约的广延增长，而不是传播</w:t>
      </w:r>
      <w:r>
        <w:t xml:space="preserve"> </w:t>
      </w:r>
      <w:r>
        <w:t xml:space="preserve">分支过程逐渐接近临界。该拆解显著削弱了把 cutoff/矩增长解释为严格 SOC 的依据。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P(initial=1)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initial/N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propagated/N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propagated/total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K/N=0.14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K/N=0.14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K/N=0.14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 K/N=0.14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c=0.18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c=0.18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c=0.18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收入内生 c=0.18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0.1281</w:t>
            </w:r>
          </w:p>
        </w:tc>
      </w:tr>
    </w:tbl>
    <w:p>
      <w:pPr>
        <w:pStyle w:val="CaptionedFigure"/>
      </w:pPr>
      <w:r>
        <w:drawing>
          <wp:inline>
            <wp:extent cx="4907280" cy="3513697"/>
            <wp:effectExtent b="0" l="0" r="0" t="0"/>
            <wp:docPr descr="有限尺寸 initial-default 与 propagated 拆解" title="" id="46" name="Picture"/>
            <a:graphic>
              <a:graphicData uri="http://schemas.openxmlformats.org/drawingml/2006/picture">
                <pic:pic>
                  <pic:nvPicPr>
                    <pic:cNvPr descr="../results/credit_soc_phase2_comprehensive_20260604_v1/finite_size_initial_propagat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13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有限尺寸 initial-default 与 propagated 拆解</w:t>
      </w:r>
    </w:p>
    <w:p>
      <w:pPr>
        <w:pStyle w:val="CaptionedFigure"/>
      </w:pPr>
      <w:r>
        <w:drawing>
          <wp:inline>
            <wp:extent cx="4907280" cy="3533241"/>
            <wp:effectExtent b="0" l="0" r="0" t="0"/>
            <wp:docPr descr="严格分支：正式 initial-default 与 propagated 拆解" title="" id="49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initial_vs_propagated_decompositio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33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严格分支：正式 initial-default 与 propagated 拆解</w:t>
      </w:r>
    </w:p>
    <w:p>
      <w:pPr>
        <w:pStyle w:val="CaptionedFigure"/>
      </w:pPr>
      <w:r>
        <w:drawing>
          <wp:inline>
            <wp:extent cx="4907280" cy="3627119"/>
            <wp:effectExtent b="0" l="0" r="0" t="0"/>
            <wp:docPr descr="严格分支：有限尺寸标度" title="" id="52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finite_size_scalin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严格分支：有限尺寸标度</w:t>
      </w:r>
    </w:p>
    <w:bookmarkEnd w:id="54"/>
    <w:bookmarkStart w:id="73" w:name="时间分离长期漂移与低驱动搜索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时间分离、长期漂移与低驱动搜索</w:t>
      </w:r>
    </w:p>
    <w:p>
      <w:pPr>
        <w:pStyle w:val="FirstParagraph"/>
      </w:pPr>
      <w:r>
        <w:t xml:space="preserve">高 occupancy 或</w:t>
      </w:r>
      <w:r>
        <w:t xml:space="preserve"> </w:t>
      </w:r>
      <w:r>
        <w:rPr>
          <w:rStyle w:val="VerbatimChar"/>
        </w:rPr>
        <w:t xml:space="preserve">P(wait=1)</w:t>
      </w:r>
      <w:r>
        <w:t xml:space="preserve"> </w:t>
      </w:r>
      <w:r>
        <w:t xml:space="preserve">本身不能单独排除 SOC；本报告将它们与以下证据联合解释：</w:t>
      </w:r>
    </w:p>
    <w:p>
      <w:pPr>
        <w:numPr>
          <w:ilvl w:val="0"/>
          <w:numId w:val="1003"/>
        </w:numPr>
        <w:pStyle w:val="Compact"/>
      </w:pPr>
      <w:r>
        <w:t xml:space="preserve">事件规模 lag-1 相关；</w:t>
      </w:r>
    </w:p>
    <w:p>
      <w:pPr>
        <w:numPr>
          <w:ilvl w:val="0"/>
          <w:numId w:val="1003"/>
        </w:numPr>
        <w:pStyle w:val="Compact"/>
      </w:pPr>
      <w:r>
        <w:t xml:space="preserve">Q1 到 Q4 的规模和大事件率持续漂移；</w:t>
      </w:r>
    </w:p>
    <w:p>
      <w:pPr>
        <w:numPr>
          <w:ilvl w:val="0"/>
          <w:numId w:val="1003"/>
        </w:numPr>
        <w:pStyle w:val="Compact"/>
      </w:pPr>
      <w:r>
        <w:t xml:space="preserve">同一节点跨期重复违约；</w:t>
      </w:r>
    </w:p>
    <w:p>
      <w:pPr>
        <w:numPr>
          <w:ilvl w:val="0"/>
          <w:numId w:val="1003"/>
        </w:numPr>
        <w:pStyle w:val="Compact"/>
      </w:pPr>
      <w:r>
        <w:t xml:space="preserve">终态活跃信贷下降、Gini 接近 1；</w:t>
      </w:r>
    </w:p>
    <w:p>
      <w:pPr>
        <w:numPr>
          <w:ilvl w:val="0"/>
          <w:numId w:val="1003"/>
        </w:numPr>
        <w:pStyle w:val="Compact"/>
      </w:pPr>
      <w:r>
        <w:t xml:space="preserve">多数 event 为多源同步 initial defaults；</w:t>
      </w:r>
    </w:p>
    <w:p>
      <w:pPr>
        <w:numPr>
          <w:ilvl w:val="0"/>
          <w:numId w:val="1003"/>
        </w:numPr>
        <w:pStyle w:val="Compact"/>
      </w:pPr>
      <w:r>
        <w:t xml:space="preserve">严格尾部替代分布和 per-seed 不稳定性；</w:t>
      </w:r>
    </w:p>
    <w:p>
      <w:pPr>
        <w:numPr>
          <w:ilvl w:val="0"/>
          <w:numId w:val="1003"/>
        </w:numPr>
        <w:pStyle w:val="Compac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t xml:space="preserve">最慢驱动对照。</w:t>
      </w:r>
    </w:p>
    <w:p>
      <w:pPr>
        <w:pStyle w:val="FirstParagraph"/>
      </w:pPr>
      <w:r>
        <w:t xml:space="preserve">低驱动长期搜索中的固定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t xml:space="preserve">证据摘录：</w:t>
      </w:r>
    </w:p>
    <w:p>
      <w:pPr>
        <w:numPr>
          <w:ilvl w:val="0"/>
          <w:numId w:val="1004"/>
        </w:numPr>
        <w:pStyle w:val="Compact"/>
      </w:pPr>
      <w:r>
        <w:t xml:space="preserve">最慢 fixed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t xml:space="preserve">对照的 late occupancy 为</w:t>
      </w:r>
      <w:r>
        <w:t xml:space="preserve"> </w:t>
      </w:r>
      <w:r>
        <w:rPr>
          <w:rStyle w:val="VerbatimChar"/>
        </w:rPr>
        <w:t xml:space="preserve">0.0275-0.0354</w:t>
      </w:r>
      <w:r>
        <w:t xml:space="preserve">，late</w:t>
      </w:r>
      <w:r>
        <w:t xml:space="preserve"> </w:t>
      </w:r>
      <w:r>
        <w:rPr>
          <w:rStyle w:val="VerbatimChar"/>
        </w:rPr>
        <w:t xml:space="preserve">P(wait=1)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0.0083-0.0443</w:t>
      </w:r>
      <w:r>
        <w:t xml:space="preserve">，lag-1 为</w:t>
      </w:r>
      <w:r>
        <w:t xml:space="preserve"> </w:t>
      </w:r>
      <w:r>
        <w:rPr>
          <w:rStyle w:val="VerbatimChar"/>
        </w:rPr>
        <w:t xml:space="preserve">-0.0572--0.0414</w:t>
      </w:r>
      <w:r>
        <w:t xml:space="preserve">。其事件均由单个 initial default 开始，但传播新增只占</w:t>
      </w:r>
      <w:r>
        <w:t xml:space="preserve"> </w:t>
      </w:r>
      <w:r>
        <w:rPr>
          <w:rStyle w:val="VerbatimChar"/>
        </w:rPr>
        <w:t xml:space="preserve">0.1146-0.1852</w:t>
      </w:r>
      <w:r>
        <w:t xml:space="preserve">，late P99 size 仅</w:t>
      </w:r>
      <w:r>
        <w:t xml:space="preserve"> </w:t>
      </w:r>
      <w:r>
        <w:rPr>
          <w:rStyle w:val="VerbatimChar"/>
        </w:rPr>
        <w:t xml:space="preserve">3.00-3.69</w:t>
      </w:r>
      <w:r>
        <w:t xml:space="preserve">，没有 10% 大事件。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K=1</w:t>
      </w:r>
      <w:r>
        <w:t xml:space="preserve"> </w:t>
      </w:r>
      <w:r>
        <w:t xml:space="preserve">仍不是平稳候选：late/early active-credit 比为</w:t>
      </w:r>
      <w:r>
        <w:t xml:space="preserve"> </w:t>
      </w:r>
      <w:r>
        <w:rPr>
          <w:rStyle w:val="VerbatimChar"/>
        </w:rPr>
        <w:t xml:space="preserve">7.17-7.36</w:t>
      </w:r>
      <w:r>
        <w:t xml:space="preserve">。它是当前 period-end 协议的最慢批量控制，但全体节点每期仍同时完成流量结算。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initial_default_count</w:t>
      </w:r>
      <w:r>
        <w:t xml:space="preserve"> </w:t>
      </w:r>
      <w:r>
        <w:t xml:space="preserve">是同一次 period-end 全体流量结算后同步出现的负净资产节点数；</w:t>
      </w:r>
      <w:r>
        <w:rPr>
          <w:rStyle w:val="VerbatimChar"/>
        </w:rPr>
        <w:t xml:space="preserve">propagated_default_count = collapse_size - initial_default_count</w:t>
      </w:r>
      <w:r>
        <w:t xml:space="preserve"> </w:t>
      </w:r>
      <w:r>
        <w:t xml:space="preserve">才是网络清算传播新增违约。一次记录的 avalanche 可能有多个同步初始源，并不等同于单一微观触发。即使 fixed</w:t>
      </w:r>
      <w:r>
        <w:t xml:space="preserve"> </w:t>
      </w:r>
      <w:r>
        <w:rPr>
          <w:rStyle w:val="VerbatimChar"/>
        </w:rPr>
        <w:t xml:space="preserve">K=1</w:t>
      </w:r>
      <w:r>
        <w:t xml:space="preserve">，每期仍对全体节点进行期末流量结算，因此它只是当前协议最慢的批量控制，不自动等于单微观触发 SOC。</w:t>
      </w:r>
    </w:p>
    <w:p>
      <w:pPr>
        <w:pStyle w:val="FirstParagraph"/>
      </w:pPr>
      <w:r>
        <w:t xml:space="preserve">正式长期搜索共分类 42 个场景，其中</w:t>
      </w:r>
      <w:r>
        <w:t xml:space="preserve"> </w:t>
      </w:r>
      <w:r>
        <w:rPr>
          <w:rStyle w:val="VerbatimChar"/>
        </w:rPr>
        <w:t xml:space="preserve">soc_candidate=True</w:t>
      </w:r>
      <w:r>
        <w:t xml:space="preserve"> </w:t>
      </w:r>
      <w:r>
        <w:t xml:space="preserve">为</w:t>
      </w:r>
      <w:r>
        <w:t xml:space="preserve"> </w:t>
      </w:r>
      <w:r>
        <w:t xml:space="preserve">0 个；会计/一致性审计通过</w:t>
      </w:r>
      <w:r>
        <w:t xml:space="preserve"> </w:t>
      </w:r>
      <w:r>
        <w:t xml:space="preserve">11/11 项。完整候选门槛见</w:t>
      </w:r>
      <w:r>
        <w:t xml:space="preserve"> </w:t>
      </w:r>
      <w:r>
        <w:rPr>
          <w:rStyle w:val="VerbatimChar"/>
        </w:rPr>
        <w:t xml:space="preserve">/data/WYC/class/creditNet/results/credit_soc_phase2_stationarity_search_20260604_v1/candidate_gate.json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drift_or_persistent_failure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sparse_but_nonstationary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drift_or_persistent_failure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sparse_but_nonstationary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K=1</w:t>
      </w:r>
      <w:r>
        <w:t xml:space="preserve"> </w:t>
      </w:r>
      <w:r>
        <w:t xml:space="preserve">是当前协议最慢批量控制，但仍会在全系统</w:t>
      </w:r>
      <w:r>
        <w:t xml:space="preserve"> </w:t>
      </w:r>
      <w:r>
        <w:rPr>
          <w:rStyle w:val="VerbatimChar"/>
        </w:rPr>
        <w:t xml:space="preserve">period_end</w:t>
      </w:r>
      <w:r>
        <w:t xml:space="preserve"> </w:t>
      </w:r>
      <w:r>
        <w:t xml:space="preserve">流量结算后产生零个、一个或</w:t>
      </w:r>
      <w:r>
        <w:t xml:space="preserve"> </w:t>
      </w:r>
      <w:r>
        <w:t xml:space="preserve">多个 initial defaults；因此它不自动等同于单一微观触发 SOC。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本金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mean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active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P(initial=1)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propagated/total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repeated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SOC候选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sparse_but_nonstationary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sparse_but_nonstationary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CaptionedFigure"/>
      </w:pPr>
      <w:r>
        <w:drawing>
          <wp:inline>
            <wp:extent cx="4907280" cy="2028342"/>
            <wp:effectExtent b="0" l="0" r="0" t="0"/>
            <wp:docPr descr="严格分支：时间分离诊断" title="" id="56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temporal_separ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2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严格分支：时间分离诊断</w:t>
      </w:r>
    </w:p>
    <w:p>
      <w:pPr>
        <w:pStyle w:val="CaptionedFigure"/>
      </w:pPr>
      <w:r>
        <w:drawing>
          <wp:inline>
            <wp:extent cx="4907280" cy="1799335"/>
            <wp:effectExtent b="0" l="0" r="0" t="0"/>
            <wp:docPr descr="严格分支：时间窗口漂移" title="" id="59" name="Picture"/>
            <a:graphic>
              <a:graphicData uri="http://schemas.openxmlformats.org/drawingml/2006/picture">
                <pic:pic>
                  <pic:nvPicPr>
                    <pic:cNvPr descr="../results/credit_soc_phase2_strict_soc_20260604_v1/analysis_final_v5/time_window_drif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799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严格分支：时间窗口漂移</w:t>
      </w:r>
    </w:p>
    <w:p>
      <w:pPr>
        <w:pStyle w:val="CaptionedFigure"/>
      </w:pPr>
      <w:r>
        <w:drawing>
          <wp:inline>
            <wp:extent cx="4907280" cy="1570329"/>
            <wp:effectExtent b="0" l="0" r="0" t="0"/>
            <wp:docPr descr="动态分支：长期时间窗口" title="" id="62" name="Picture"/>
            <a:graphic>
              <a:graphicData uri="http://schemas.openxmlformats.org/drawingml/2006/picture">
                <pic:pic>
                  <pic:nvPicPr>
                    <pic:cNvPr descr="../results/credit_soc_phase2_dynamics_20260604_v1/long_run_time_window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7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动态分支：长期时间窗口</w:t>
      </w:r>
    </w:p>
    <w:p>
      <w:pPr>
        <w:pStyle w:val="CaptionedFigure"/>
      </w:pPr>
      <w:r>
        <w:drawing>
          <wp:inline>
            <wp:extent cx="4907280" cy="3397347"/>
            <wp:effectExtent b="0" l="0" r="0" t="0"/>
            <wp:docPr descr="低驱动长期平稳性搜索图 1" title="" id="65" name="Picture"/>
            <a:graphic>
              <a:graphicData uri="http://schemas.openxmlformats.org/drawingml/2006/picture">
                <pic:pic>
                  <pic:nvPicPr>
                    <pic:cNvPr descr="../results/credit_soc_phase2_stationarity_search_20260604_v1/early_late_stationarit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39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低驱动长期平稳性搜索图 1</w:t>
      </w:r>
    </w:p>
    <w:p>
      <w:pPr>
        <w:pStyle w:val="CaptionedFigure"/>
      </w:pPr>
      <w:r>
        <w:drawing>
          <wp:inline>
            <wp:extent cx="4907280" cy="4600575"/>
            <wp:effectExtent b="0" l="0" r="0" t="0"/>
            <wp:docPr descr="低驱动长期平稳性搜索图 2" title="" id="68" name="Picture"/>
            <a:graphic>
              <a:graphicData uri="http://schemas.openxmlformats.org/drawingml/2006/picture">
                <pic:pic>
                  <pic:nvPicPr>
                    <pic:cNvPr descr="../results/credit_soc_phase2_stationarity_search_20260604_v1/time_bin_drif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低驱动长期平稳性搜索图 2</w:t>
      </w:r>
    </w:p>
    <w:p>
      <w:pPr>
        <w:pStyle w:val="CaptionedFigure"/>
      </w:pPr>
      <w:r>
        <w:drawing>
          <wp:inline>
            <wp:extent cx="4907280" cy="2076156"/>
            <wp:effectExtent b="0" l="0" r="0" t="0"/>
            <wp:docPr descr="低驱动长期平稳性搜索图 3" title="" id="71" name="Picture"/>
            <a:graphic>
              <a:graphicData uri="http://schemas.openxmlformats.org/drawingml/2006/picture">
                <pic:pic>
                  <pic:nvPicPr>
                    <pic:cNvPr descr="../results/credit_soc_phase2_stationarity_search_20260604_v1/independence_repetiti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76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低驱动长期平稳性搜索图 3</w:t>
      </w:r>
    </w:p>
    <w:bookmarkEnd w:id="73"/>
    <w:bookmarkStart w:id="77" w:name="cascade-内部传播动态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Cascade 内部传播动态</w:t>
      </w:r>
    </w:p>
    <w:p>
      <w:pPr>
        <w:pStyle w:val="FirstParagraph"/>
      </w:pPr>
      <w:r>
        <w:t xml:space="preserve">动态分支的正式 280-run / 80,353-event 审计显示，单次事件内部平均 weighted branching 明显</w:t>
      </w:r>
      <w:r>
        <w:t xml:space="preserve"> </w:t>
      </w:r>
      <w:r>
        <w:t xml:space="preserve">低于 1；同时长期 continue 协议趋向近连续、强相关的持续失败状态。传播 generation 是顺序</w:t>
      </w:r>
      <w:r>
        <w:t xml:space="preserve"> </w:t>
      </w:r>
      <w:r>
        <w:t xml:space="preserve">FIFO sticky queue 的最早发现代，不是同步物理时间；</w:t>
      </w:r>
      <w:r>
        <w:rPr>
          <w:rStyle w:val="VerbatimChar"/>
        </w:rPr>
        <w:t xml:space="preserve">cascade_steps</w:t>
      </w:r>
      <w:r>
        <w:t xml:space="preserve"> </w:t>
      </w:r>
      <w:r>
        <w:t xml:space="preserve">也只是处理节点数。</w:t>
      </w:r>
    </w:p>
    <w:p>
      <w:pPr>
        <w:pStyle w:val="BodyText"/>
      </w:pPr>
      <w:r>
        <w:t xml:space="preserve">这与事件定义拆解一致：观察到的大 size 主要不是单一初始节点引发接近临界的分支传播，而是</w:t>
      </w:r>
      <w:r>
        <w:t xml:space="preserve"> </w:t>
      </w:r>
      <w:r>
        <w:t xml:space="preserve">多个同步初始违约再叠加有限传播。</w:t>
      </w:r>
    </w:p>
    <w:p>
      <w:pPr>
        <w:pStyle w:val="CaptionedFigure"/>
      </w:pPr>
      <w:r>
        <w:drawing>
          <wp:inline>
            <wp:extent cx="4907280" cy="2141358"/>
            <wp:effectExtent b="0" l="0" r="0" t="0"/>
            <wp:docPr descr="动态分支：传播分支比" title="" id="75" name="Picture"/>
            <a:graphic>
              <a:graphicData uri="http://schemas.openxmlformats.org/drawingml/2006/picture">
                <pic:pic>
                  <pic:nvPicPr>
                    <pic:cNvPr descr="../results/credit_soc_phase2_dynamics_20260604_v1/branching_vs_driv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4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动态分支：传播分支比</w:t>
      </w:r>
    </w:p>
    <w:bookmarkEnd w:id="77"/>
    <w:bookmarkStart w:id="90" w:name="检查频率清算恢复退出与重置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检查频率、清算、恢复、退出与重置</w:t>
      </w:r>
    </w:p>
    <w:p>
      <w:pPr>
        <w:pStyle w:val="FirstParagraph"/>
      </w:pPr>
      <w:r>
        <w:t xml:space="preserve">credit-only 中间检查与 reference 完全等价，因为单位信贷不改变净资产。固定流量结算序列下，</w:t>
      </w:r>
      <w:r>
        <w:t xml:space="preserve"> </w:t>
      </w:r>
      <w:r>
        <w:t xml:space="preserve">提高检查频率会把批量事件碎片化为更多小事件，但没有恢复低频、相互分离的健康状态。</w:t>
      </w:r>
      <w:r>
        <w:t xml:space="preserve"> </w:t>
      </w:r>
      <w:r>
        <w:t xml:space="preserve">Reference 中 repeated default 占比超过 98%；保留违约节点资产显著降低单次规模但持续小违约</w:t>
      </w:r>
      <w:r>
        <w:t xml:space="preserve"> </w:t>
      </w:r>
      <w:r>
        <w:t xml:space="preserve">仍存在；永久退出通过耗尽参与者停止事件；reset 引入外部现金并依赖驱动规则。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run大事件率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avalanche活跃期率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平均事件规模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重复违约占比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终态活跃信贷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终态active节点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终态Gini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high_risk_income_c020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high_risk_income_c020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flow_split_b10_check_q1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high_risk_income_c020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high_risk_income_c020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permanent_exit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boundary_fixed_k20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reference_period_end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boundary_fixed_k20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flow_split_b10_check_q1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boundary_fixed_k20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keep_defaulted_assets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boundary_fixed_k20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permanent_exit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0.966</w:t>
            </w:r>
          </w:p>
        </w:tc>
      </w:tr>
    </w:tbl>
    <w:p>
      <w:pPr>
        <w:pStyle w:val="CaptionedFigure"/>
      </w:pPr>
      <w:r>
        <w:drawing>
          <wp:inline>
            <wp:extent cx="4907280" cy="1587649"/>
            <wp:effectExtent b="0" l="0" r="0" t="0"/>
            <wp:docPr descr="机制分支：驱动与检查频率解耦" title="" id="79" name="Picture"/>
            <a:graphic>
              <a:graphicData uri="http://schemas.openxmlformats.org/drawingml/2006/picture">
                <pic:pic>
                  <pic:nvPicPr>
                    <pic:cNvPr descr="../results/credit_soc_phase2_mechanism_20260604_v1/longrun_20260604_1244_r2/batch_decoupling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8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机制分支：驱动与检查频率解耦</w:t>
      </w:r>
    </w:p>
    <w:p>
      <w:pPr>
        <w:pStyle w:val="CaptionedFigure"/>
      </w:pPr>
      <w:r>
        <w:drawing>
          <wp:inline>
            <wp:extent cx="4907280" cy="2846222"/>
            <wp:effectExtent b="0" l="0" r="0" t="0"/>
            <wp:docPr descr="机制分支：清算机制大事件率" title="" id="82" name="Picture"/>
            <a:graphic>
              <a:graphicData uri="http://schemas.openxmlformats.org/drawingml/2006/picture">
                <pic:pic>
                  <pic:nvPicPr>
                    <pic:cNvPr descr="../results/credit_soc_phase2_mechanism_20260604_v1/longrun_20260604_1244_r2/clearing_mechanism_critical_rat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4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机制分支：清算机制大事件率</w:t>
      </w:r>
    </w:p>
    <w:p>
      <w:pPr>
        <w:pStyle w:val="CaptionedFigure"/>
      </w:pPr>
      <w:r>
        <w:drawing>
          <wp:inline>
            <wp:extent cx="4907280" cy="2846222"/>
            <wp:effectExtent b="0" l="0" r="0" t="0"/>
            <wp:docPr descr="机制分支：重复违约占比" title="" id="85" name="Picture"/>
            <a:graphic>
              <a:graphicData uri="http://schemas.openxmlformats.org/drawingml/2006/picture">
                <pic:pic>
                  <pic:nvPicPr>
                    <pic:cNvPr descr="../results/credit_soc_phase2_mechanism_20260604_v1/longrun_20260604_1244_r2/repeat_default_shar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46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机制分支：重复违约占比</w:t>
      </w:r>
    </w:p>
    <w:p>
      <w:pPr>
        <w:pStyle w:val="CaptionedFigure"/>
      </w:pPr>
      <w:r>
        <w:drawing>
          <wp:inline>
            <wp:extent cx="4907280" cy="2000660"/>
            <wp:effectExtent b="0" l="0" r="0" t="0"/>
            <wp:docPr descr="机制分支：阈值敏感性" title="" id="88" name="Picture"/>
            <a:graphic>
              <a:graphicData uri="http://schemas.openxmlformats.org/drawingml/2006/picture">
                <pic:pic>
                  <pic:nvPicPr>
                    <pic:cNvPr descr="../results/credit_soc_phase2_mechanism_20260604_v1/longrun_20260604_1244_r2/threshold_sensitivity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000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机制分支：阈值敏感性</w:t>
      </w:r>
    </w:p>
    <w:bookmarkEnd w:id="90"/>
    <w:bookmarkStart w:id="100" w:name="project.md-因素与-erbasw-影响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</w:t>
      </w:r>
      <w:r>
        <w:t xml:space="preserve"> </w:t>
      </w:r>
      <w:r>
        <w:rPr>
          <w:rStyle w:val="VerbatimChar"/>
        </w:rPr>
        <w:t xml:space="preserve">project.md</w:t>
      </w:r>
      <w:r>
        <w:t xml:space="preserve"> </w:t>
      </w:r>
      <w:r>
        <w:t xml:space="preserve">因素与 ER/BA/SW 影响</w:t>
      </w:r>
    </w:p>
    <w:p>
      <w:pPr>
        <w:pStyle w:val="FirstParagraph"/>
      </w:pPr>
      <w:r>
        <w:t xml:space="preserve">固定</w:t>
      </w:r>
      <w:r>
        <w:t xml:space="preserve"> </w:t>
      </w:r>
      <w:r>
        <w:rPr>
          <w:rStyle w:val="VerbatimChar"/>
        </w:rPr>
        <w:t xml:space="preserve">K=20</w:t>
      </w:r>
      <w:r>
        <w:t xml:space="preserve">、240-period 瞬态因素扫描显示：</w:t>
      </w:r>
    </w:p>
    <w:p>
      <w:pPr>
        <w:numPr>
          <w:ilvl w:val="0"/>
          <w:numId w:val="1005"/>
        </w:numPr>
        <w:pStyle w:val="Compact"/>
      </w:pPr>
      <w:r>
        <w:t xml:space="preserve">biased 收入相对 uniform 收入显著提前首次事件、增大级联并提高终态不平等；</w:t>
      </w:r>
    </w:p>
    <w:p>
      <w:pPr>
        <w:numPr>
          <w:ilvl w:val="0"/>
          <w:numId w:val="1005"/>
        </w:numPr>
        <w:pStyle w:val="Compact"/>
      </w:pPr>
      <w:r>
        <w:t xml:space="preserve">lognormal 初始本金与较大级联同时出现，但本金分布未逐 run 严格配平总现金；</w:t>
      </w:r>
    </w:p>
    <w:p>
      <w:pPr>
        <w:numPr>
          <w:ilvl w:val="0"/>
          <w:numId w:val="1005"/>
        </w:numPr>
        <w:pStyle w:val="Compact"/>
      </w:pPr>
      <w:r>
        <w:t xml:space="preserve">random 实际有向暴露增长的事件规模显著高于</w:t>
      </w:r>
      <w:r>
        <w:t xml:space="preserve"> </w:t>
      </w:r>
      <w:r>
        <w:rPr>
          <w:rStyle w:val="VerbatimChar"/>
        </w:rPr>
        <w:t xml:space="preserve">preferential_debt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匹配平均度后 ER、BA-derived、SW 家族差异较弱，平均度效应也只是弱探索性证据；</w:t>
      </w:r>
    </w:p>
    <w:p>
      <w:pPr>
        <w:numPr>
          <w:ilvl w:val="0"/>
          <w:numId w:val="1005"/>
        </w:numPr>
        <w:pStyle w:val="Compact"/>
      </w:pPr>
      <w:r>
        <w:t xml:space="preserve">这些结论是独立种子、短时域描述性比较，不能外推为长期拓扑排序或严格因果效应。</w:t>
      </w:r>
    </w:p>
    <w:p>
      <w:pPr>
        <w:pStyle w:val="FirstParagraph"/>
      </w:pPr>
      <w:r>
        <w:t xml:space="preserve">收入规则对照：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收入规则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首次事件前活跃信贷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平均最大事件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平均事件规模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终态Gini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</w:tr>
    </w:tbl>
    <w:p>
      <w:pPr>
        <w:pStyle w:val="BodyText"/>
      </w:pPr>
      <w:r>
        <w:t xml:space="preserve">匹配平均度拓扑对照：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机会图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度CV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平均最大事件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平均事件规模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5.891</w:t>
            </w:r>
          </w:p>
        </w:tc>
      </w:tr>
    </w:tbl>
    <w:p>
      <w:pPr>
        <w:pStyle w:val="CaptionedFigure"/>
      </w:pPr>
      <w:r>
        <w:drawing>
          <wp:inline>
            <wp:extent cx="4907280" cy="1570329"/>
            <wp:effectExtent b="0" l="0" r="0" t="0"/>
            <wp:docPr descr="因素分支：本金、收入与增长规则" title="" id="92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factor_effect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57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因素分支：本金、收入与增长规则</w:t>
      </w:r>
    </w:p>
    <w:p>
      <w:pPr>
        <w:pStyle w:val="CaptionedFigure"/>
      </w:pPr>
      <w:r>
        <w:drawing>
          <wp:inline>
            <wp:extent cx="4907280" cy="2141358"/>
            <wp:effectExtent b="0" l="0" r="0" t="0"/>
            <wp:docPr descr="因素分支：ER/BA/SW 与平均度" title="" id="95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topology_degree_effec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14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因素分支：ER/BA/SW 与平均度</w:t>
      </w:r>
    </w:p>
    <w:p>
      <w:pPr>
        <w:pStyle w:val="CaptionedFigure"/>
      </w:pPr>
      <w:r>
        <w:drawing>
          <wp:inline>
            <wp:extent cx="4907280" cy="3467811"/>
            <wp:effectExtent b="0" l="0" r="0" t="0"/>
            <wp:docPr descr="因素分支：匹配平均度拓扑 CCDF" title="" id="98" name="Picture"/>
            <a:graphic>
              <a:graphicData uri="http://schemas.openxmlformats.org/drawingml/2006/picture">
                <pic:pic>
                  <pic:nvPicPr>
                    <pic:cNvPr descr="../results/credit_soc_phase2_factors_topology_20260604_v1/topology_matched_degree_ccd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6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因素分支：匹配平均度拓扑 CCDF</w:t>
      </w:r>
    </w:p>
    <w:bookmarkEnd w:id="100"/>
    <w:bookmarkStart w:id="103" w:name="综合经验结论与边界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综合经验结论与边界</w:t>
      </w:r>
    </w:p>
    <w:bookmarkStart w:id="101" w:name="当前支持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当前支持</w:t>
      </w:r>
    </w:p>
    <w:p>
      <w:pPr>
        <w:numPr>
          <w:ilvl w:val="0"/>
          <w:numId w:val="1006"/>
        </w:numPr>
        <w:pStyle w:val="Compact"/>
      </w:pPr>
      <w:r>
        <w:t xml:space="preserve">当前模型明确存在由驱动批量、流量分配、初始本金和暴露增长共同决定的级联交叉。</w:t>
      </w:r>
    </w:p>
    <w:p>
      <w:pPr>
        <w:numPr>
          <w:ilvl w:val="0"/>
          <w:numId w:val="1006"/>
        </w:numPr>
        <w:pStyle w:val="Compact"/>
      </w:pPr>
      <w:r>
        <w:t xml:space="preserve">部分协议存在机制敏感的重尾和大事件。</w:t>
      </w:r>
    </w:p>
    <w:p>
      <w:pPr>
        <w:numPr>
          <w:ilvl w:val="0"/>
          <w:numId w:val="1006"/>
        </w:numPr>
        <w:pStyle w:val="Compact"/>
      </w:pPr>
      <w:r>
        <w:t xml:space="preserve">高风险 continue 协议长期趋向高不平等、低活跃信贷、重复违约的持续失败状态。</w:t>
      </w:r>
    </w:p>
    <w:p>
      <w:pPr>
        <w:numPr>
          <w:ilvl w:val="0"/>
          <w:numId w:val="1006"/>
        </w:numPr>
        <w:pStyle w:val="Compact"/>
      </w:pPr>
      <w:r>
        <w:t xml:space="preserve">清算聚合窗口会显著改变单次事件 size 和人工大事件率。</w:t>
      </w:r>
    </w:p>
    <w:p>
      <w:pPr>
        <w:numPr>
          <w:ilvl w:val="0"/>
          <w:numId w:val="1006"/>
        </w:numPr>
        <w:pStyle w:val="Compact"/>
      </w:pPr>
      <w:r>
        <w:t xml:space="preserve">biased 收入、lognormal 本金和 random 增长是当前已测条件下的重要脆弱性因素。</w:t>
      </w:r>
    </w:p>
    <w:bookmarkEnd w:id="101"/>
    <w:bookmarkStart w:id="102" w:name="当前不支持或不能外推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当前不支持或不能外推</w:t>
      </w:r>
    </w:p>
    <w:p>
      <w:pPr>
        <w:numPr>
          <w:ilvl w:val="0"/>
          <w:numId w:val="1007"/>
        </w:numPr>
        <w:pStyle w:val="Compact"/>
      </w:pPr>
      <w:r>
        <w:t xml:space="preserve">不能把</w:t>
      </w:r>
      <w:r>
        <w:t xml:space="preserve"> </w:t>
      </w:r>
      <w:r>
        <w:rPr>
          <w:rStyle w:val="VerbatimChar"/>
        </w:rPr>
        <w:t xml:space="preserve">critical_event</w:t>
      </w:r>
      <w:r>
        <w:t xml:space="preserve">、log-log 近直线、单个 alpha 或 failure-to-reject 当作严格 SOC 证明。</w:t>
      </w:r>
    </w:p>
    <w:p>
      <w:pPr>
        <w:numPr>
          <w:ilvl w:val="0"/>
          <w:numId w:val="1007"/>
        </w:numPr>
        <w:pStyle w:val="Compact"/>
      </w:pPr>
      <w:r>
        <w:t xml:space="preserve">不能把高 occupancy 或</w:t>
      </w:r>
      <w:r>
        <w:t xml:space="preserve"> </w:t>
      </w:r>
      <w:r>
        <w:rPr>
          <w:rStyle w:val="VerbatimChar"/>
        </w:rPr>
        <w:t xml:space="preserve">P(wait=1)</w:t>
      </w:r>
      <w:r>
        <w:t xml:space="preserve"> </w:t>
      </w:r>
      <w:r>
        <w:t xml:space="preserve">单独当作反证；它们只在联合证据中有解释力。</w:t>
      </w:r>
    </w:p>
    <w:p>
      <w:pPr>
        <w:numPr>
          <w:ilvl w:val="0"/>
          <w:numId w:val="1007"/>
        </w:numPr>
        <w:pStyle w:val="Compact"/>
      </w:pPr>
      <w:r>
        <w:t xml:space="preserve">不能把一次记录 event 默认当作单一微观触发 avalanche；多数 event 含多个同步 initial defaults。</w:t>
      </w:r>
    </w:p>
    <w:p>
      <w:pPr>
        <w:numPr>
          <w:ilvl w:val="0"/>
          <w:numId w:val="1007"/>
        </w:numPr>
        <w:pStyle w:val="Compact"/>
      </w:pPr>
      <w:r>
        <w:t xml:space="preserve">不能把绝对 size 近线性有限尺寸标度解释为传播临界；初始违约广延增长占主导。</w:t>
      </w:r>
    </w:p>
    <w:p>
      <w:pPr>
        <w:numPr>
          <w:ilvl w:val="0"/>
          <w:numId w:val="1007"/>
        </w:numPr>
        <w:pStyle w:val="Compact"/>
      </w:pPr>
      <w:r>
        <w:t xml:space="preserve">当前经验判定只适用于已实现 baseline、扫描邻域和已测机制，不是所有信贷网络模型的数学否定。</w:t>
      </w:r>
    </w:p>
    <w:p>
      <w:pPr>
        <w:numPr>
          <w:ilvl w:val="0"/>
          <w:numId w:val="1007"/>
        </w:numPr>
        <w:pStyle w:val="Compact"/>
      </w:pPr>
      <w:r>
        <w:t xml:space="preserve">当前没有正常还款、利息、生产回报、动态真实机会网络和经过验证的稳态更新机制。</w:t>
      </w:r>
    </w:p>
    <w:bookmarkEnd w:id="102"/>
    <w:bookmarkEnd w:id="103"/>
    <w:bookmarkStart w:id="104" w:name="可复现性与证据路径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可复现性与证据路径</w:t>
      </w:r>
    </w:p>
    <w:p>
      <w:pPr>
        <w:numPr>
          <w:ilvl w:val="0"/>
          <w:numId w:val="1008"/>
        </w:numPr>
        <w:pStyle w:val="Compact"/>
      </w:pPr>
      <w:r>
        <w:t xml:space="preserve">综合结果目录：</w:t>
      </w:r>
      <w:r>
        <w:rPr>
          <w:rStyle w:val="VerbatimChar"/>
        </w:rPr>
        <w:t xml:space="preserve">/data/WYC/class/creditNet/results/credit_soc_phase2_comprehensive_20260604_v1</w:t>
      </w:r>
    </w:p>
    <w:p>
      <w:pPr>
        <w:numPr>
          <w:ilvl w:val="0"/>
          <w:numId w:val="1008"/>
        </w:numPr>
        <w:pStyle w:val="Compact"/>
      </w:pPr>
      <w:r>
        <w:t xml:space="preserve">修正版严格统计：</w:t>
      </w:r>
      <w:r>
        <w:rPr>
          <w:rStyle w:val="VerbatimChar"/>
        </w:rPr>
        <w:t xml:space="preserve">/data/WYC/class/creditNet/results/credit_soc_phase2_strict_soc_20260604_v1/analysis_final_v5</w:t>
      </w:r>
    </w:p>
    <w:p>
      <w:pPr>
        <w:numPr>
          <w:ilvl w:val="0"/>
          <w:numId w:val="1008"/>
        </w:numPr>
        <w:pStyle w:val="Compact"/>
      </w:pPr>
      <w:r>
        <w:t xml:space="preserve">strict 原始 run/event：</w:t>
      </w:r>
      <w:r>
        <w:rPr>
          <w:rStyle w:val="VerbatimChar"/>
        </w:rPr>
        <w:t xml:space="preserve">/data/WYC/class/creditNet/results/credit_soc_phase2_strict_soc_20260604_v1/run_summary.csv</w:t>
      </w:r>
      <w:r>
        <w:t xml:space="preserve">、</w:t>
      </w:r>
      <w:r>
        <w:rPr>
          <w:rStyle w:val="VerbatimChar"/>
        </w:rPr>
        <w:t xml:space="preserve">/data/WYC/class/creditNet/results/credit_soc_phase2_strict_soc_20260604_v1/avalanche_events.csv</w:t>
      </w:r>
    </w:p>
    <w:p>
      <w:pPr>
        <w:numPr>
          <w:ilvl w:val="0"/>
          <w:numId w:val="1008"/>
        </w:numPr>
        <w:pStyle w:val="Compact"/>
      </w:pPr>
      <w:r>
        <w:t xml:space="preserve">stationarity 结果：</w:t>
      </w:r>
      <w:r>
        <w:rPr>
          <w:rStyle w:val="VerbatimChar"/>
        </w:rPr>
        <w:t xml:space="preserve">/data/WYC/class/creditNet/results/credit_soc_phase2_stationarity_search_20260604_v1</w:t>
      </w:r>
    </w:p>
    <w:p>
      <w:pPr>
        <w:numPr>
          <w:ilvl w:val="0"/>
          <w:numId w:val="1008"/>
        </w:numPr>
        <w:pStyle w:val="Compact"/>
      </w:pPr>
      <w:r>
        <w:t xml:space="preserve">stationarity 报告：</w:t>
      </w:r>
      <w:r>
        <w:rPr>
          <w:rStyle w:val="VerbatimChar"/>
        </w:rPr>
        <w:t xml:space="preserve">/data/WYC/class/creditNet/docs/credit_soc_phase2_stationarity_search_report_20260604_v1.md</w:t>
      </w:r>
    </w:p>
    <w:p>
      <w:pPr>
        <w:numPr>
          <w:ilvl w:val="0"/>
          <w:numId w:val="1008"/>
        </w:numPr>
        <w:pStyle w:val="Compact"/>
      </w:pPr>
      <w:r>
        <w:t xml:space="preserve">最终 strict 方法审计：</w:t>
      </w:r>
      <w:r>
        <w:rPr>
          <w:rStyle w:val="VerbatimChar"/>
        </w:rPr>
        <w:t xml:space="preserve">/data/WYC/class/creditNet/results/credit_soc_phase2_strict_soc_20260604_v1/method_audit_final_v4.md</w:t>
      </w:r>
    </w:p>
    <w:p>
      <w:pPr>
        <w:numPr>
          <w:ilvl w:val="0"/>
          <w:numId w:val="1008"/>
        </w:numPr>
        <w:pStyle w:val="Compact"/>
      </w:pPr>
      <w:r>
        <w:t xml:space="preserve">模型变量口径审计 v3：</w:t>
      </w:r>
      <w:r>
        <w:rPr>
          <w:rStyle w:val="VerbatimChar"/>
        </w:rPr>
        <w:t xml:space="preserve">/data/WYC/class/creditNet/docs/credit_soc_project_framework_detailed_analysis_20260604_v3.md</w:t>
      </w:r>
    </w:p>
    <w:p>
      <w:pPr>
        <w:numPr>
          <w:ilvl w:val="0"/>
          <w:numId w:val="1008"/>
        </w:numPr>
        <w:pStyle w:val="Compact"/>
      </w:pPr>
      <w:r>
        <w:t xml:space="preserve">动态结果：</w:t>
      </w:r>
      <w:r>
        <w:rPr>
          <w:rStyle w:val="VerbatimChar"/>
        </w:rPr>
        <w:t xml:space="preserve">/data/WYC/class/creditNet/results/credit_soc_phase2_dynamics_20260604_v1</w:t>
      </w:r>
    </w:p>
    <w:p>
      <w:pPr>
        <w:numPr>
          <w:ilvl w:val="0"/>
          <w:numId w:val="1008"/>
        </w:numPr>
        <w:pStyle w:val="Compact"/>
      </w:pPr>
      <w:r>
        <w:t xml:space="preserve">机制结果：</w:t>
      </w:r>
      <w:r>
        <w:rPr>
          <w:rStyle w:val="VerbatimChar"/>
        </w:rPr>
        <w:t xml:space="preserve">/data/WYC/class/creditNet/results/credit_soc_phase2_mechanism_20260604_v1/longrun_20260604_1244_r2</w:t>
      </w:r>
    </w:p>
    <w:p>
      <w:pPr>
        <w:numPr>
          <w:ilvl w:val="0"/>
          <w:numId w:val="1008"/>
        </w:numPr>
        <w:pStyle w:val="Compact"/>
      </w:pPr>
      <w:r>
        <w:t xml:space="preserve">因素与拓扑结果：</w:t>
      </w:r>
      <w:r>
        <w:rPr>
          <w:rStyle w:val="VerbatimChar"/>
        </w:rPr>
        <w:t xml:space="preserve">/data/WYC/class/creditNet/results/credit_soc_phase2_factors_topology_20260604_v1</w:t>
      </w:r>
    </w:p>
    <w:p>
      <w:pPr>
        <w:numPr>
          <w:ilvl w:val="0"/>
          <w:numId w:val="1008"/>
        </w:numPr>
        <w:pStyle w:val="Compact"/>
      </w:pPr>
      <w:r>
        <w:t xml:space="preserve">本报告 figure manifest：</w:t>
      </w:r>
      <w:r>
        <w:rPr>
          <w:rStyle w:val="VerbatimChar"/>
        </w:rPr>
        <w:t xml:space="preserve">/data/WYC/class/creditNet/results/credit_soc_phase2_comprehensive_20260604_v1/figure_manifest.csv</w:t>
      </w:r>
    </w:p>
    <w:p>
      <w:pPr>
        <w:numPr>
          <w:ilvl w:val="0"/>
          <w:numId w:val="1008"/>
        </w:numPr>
        <w:pStyle w:val="Compact"/>
      </w:pPr>
      <w:r>
        <w:t xml:space="preserve">完整 evidence manifest：</w:t>
      </w:r>
      <w:r>
        <w:rPr>
          <w:rStyle w:val="VerbatimChar"/>
        </w:rPr>
        <w:t xml:space="preserve">/data/WYC/class/creditNet/results/credit_soc_phase2_comprehensive_20260604_v1/evidence_manifest.csv</w:t>
      </w:r>
    </w:p>
    <w:p>
      <w:pPr>
        <w:numPr>
          <w:ilvl w:val="0"/>
          <w:numId w:val="1008"/>
        </w:numPr>
        <w:pStyle w:val="Compact"/>
      </w:pPr>
      <w:r>
        <w:t xml:space="preserve">复现命令：</w:t>
      </w:r>
      <w:r>
        <w:rPr>
          <w:rStyle w:val="VerbatimChar"/>
        </w:rPr>
        <w:t xml:space="preserve">/data/WYC/class/creditNet/results/credit_soc_phase2_comprehensive_20260604_v1/reproduction_commands.md</w:t>
      </w:r>
    </w:p>
    <w:p>
      <w:pPr>
        <w:numPr>
          <w:ilvl w:val="0"/>
          <w:numId w:val="1008"/>
        </w:numPr>
        <w:pStyle w:val="Compact"/>
      </w:pPr>
      <w:r>
        <w:t xml:space="preserve">Word/LibreOffice 验证：</w:t>
      </w:r>
      <w:r>
        <w:rPr>
          <w:rStyle w:val="VerbatimChar"/>
        </w:rPr>
        <w:t xml:space="preserve">/data/WYC/class/creditNet/results/credit_soc_phase2_comprehensive_20260604_v1/validation_report.md</w:t>
      </w:r>
    </w:p>
    <w:bookmarkEnd w:id="104"/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74" Target="media/rId74.png" /><Relationship Type="http://schemas.openxmlformats.org/officeDocument/2006/relationships/image" Id="rId61" Target="media/rId61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67" Target="media/rId67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2026-06-04T05:27:08Z</dcterms:created>
  <dcterms:modified xsi:type="dcterms:W3CDTF">2026-06-04T05:27:08Z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