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1F4E79" w:val="clear"/>
            <w:tcMar>
              <w:top w:type="dxa" w:w="200"/>
              <w:left w:type="dxa" w:w="300"/>
              <w:bottom w:type="dxa" w:w="200"/>
              <w:right w:type="dxa" w:w="300"/>
            </w:tcMar>
          </w:tcPr>
          <w:p>
            <w:pPr>
              <w:jc w:val="center"/>
            </w:pPr>
            <w:r>
              <w:rPr>
                <w:rFonts w:ascii="Arial" w:cs="Arial" w:eastAsia="Arial" w:hAnsi="Arial"/>
                <w:b/>
                <w:bCs/>
                <w:color w:val="FFFFFF"/>
                <w:sz w:val="18"/>
                <w:szCs w:val="18"/>
              </w:rPr>
              <w:t xml:space="preserve">NORTHGATE REGIONAL HOSPITAL</w:t>
            </w:r>
          </w:p>
          <w:p>
            <w:pPr>
              <w:jc w:val="center"/>
            </w:pPr>
            <w:r>
              <w:rPr>
                <w:rFonts w:ascii="Arial" w:cs="Arial" w:eastAsia="Arial" w:hAnsi="Arial"/>
                <w:b/>
                <w:bCs/>
                <w:color w:val="FFFFFF"/>
                <w:sz w:val="32"/>
                <w:szCs w:val="32"/>
              </w:rPr>
              <w:t xml:space="preserve">Hand Hygiene Standard Operating Procedure</w:t>
            </w:r>
          </w:p>
          <w:p>
            <w:pPr>
              <w:jc w:val="center"/>
            </w:pPr>
            <w:r>
              <w:rPr>
                <w:rFonts w:ascii="Arial" w:cs="Arial" w:eastAsia="Arial" w:hAnsi="Arial"/>
                <w:color w:val="BDD7EE"/>
                <w:sz w:val="22"/>
                <w:szCs w:val="22"/>
              </w:rPr>
              <w:t xml:space="preserve">Clinical Areas — All Staff</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Protocol Code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INFECT-001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Infection Prevention &amp; Control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Sr. Patricia Nwosu, Lead Infection Control Nurse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 January 2025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Review Due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 January 2027</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Northgate Regional Hospital staff, students, and contractors</w:t>
            </w:r>
          </w:p>
        </w:tc>
      </w:tr>
    </w:tbl>
    <w:p>
      <w:pPr>
        <w:spacing w:after="120"/>
      </w:pPr>
    </w:p>
    <w:p>
      <w:pPr>
        <w:pStyle w:val="Heading1"/>
        <w:pBdr>
          <w:bottom w:val="single" w:color="1F4E79" w:sz="6" w:space="4"/>
        </w:pBdr>
        <w:spacing w:after="120" w:before="280"/>
      </w:pPr>
      <w:r>
        <w:rPr>
          <w:rFonts w:ascii="Arial" w:cs="Arial" w:eastAsia="Arial" w:hAnsi="Arial"/>
          <w:b/>
          <w:bCs/>
          <w:color w:val="1F4E79"/>
          <w:sz w:val="28"/>
          <w:szCs w:val="28"/>
        </w:rPr>
        <w:t xml:space="preserve">1. The 5 Moments for Hand Hygiene (WHO)</w:t>
      </w:r>
    </w:p>
    <w:p>
      <w:pPr>
        <w:spacing w:after="100"/>
      </w:pPr>
      <w:r>
        <w:rPr>
          <w:rFonts w:ascii="Arial" w:cs="Arial" w:eastAsia="Arial" w:hAnsi="Arial"/>
          <w:b w:val="false"/>
          <w:bCs w:val="false"/>
          <w:sz w:val="20"/>
          <w:szCs w:val="20"/>
        </w:rPr>
        <w:t xml:space="preserve">All clinical staff MUST perform hand hygiene at each of the following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Moment</w:t>
            </w:r>
          </w:p>
        </w:tc>
        <w:tc>
          <w:tcPr>
            <w:tcW w:type="dxa" w:w="4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When</w:t>
            </w:r>
          </w:p>
        </w:tc>
        <w:tc>
          <w:tcPr>
            <w:tcW w:type="dxa" w:w="4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Why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Before touching a patient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Protect patient from harmful microorganisms carried on your hands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Before a clean/aseptic procedure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Protect patient from harmful microorganisms, including their own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 body fluid exposure risk</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Protect yourself and the healthcare environment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 touching a patient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Protect yourself and the healthcare environment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 touching patient surroundings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Protect yourself and the healthcare environment</w:t>
            </w:r>
          </w:p>
        </w:tc>
      </w:tr>
    </w:tbl>
    <w:p>
      <w:pPr>
        <w:spacing w:after="120"/>
      </w:pPr>
    </w:p>
    <w:p>
      <w:pPr>
        <w:pStyle w:val="Heading1"/>
        <w:pBdr>
          <w:bottom w:val="single" w:color="1F4E79" w:sz="6" w:space="4"/>
        </w:pBdr>
        <w:spacing w:after="120" w:before="280"/>
      </w:pPr>
      <w:r>
        <w:rPr>
          <w:rFonts w:ascii="Arial" w:cs="Arial" w:eastAsia="Arial" w:hAnsi="Arial"/>
          <w:b/>
          <w:bCs/>
          <w:color w:val="1F4E79"/>
          <w:sz w:val="28"/>
          <w:szCs w:val="28"/>
        </w:rPr>
        <w:t xml:space="preserve">2. Method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Situation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Method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Routine patient care, between patients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Alcohol-based Hand Rub (ABHR) — 20-30 seconds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Visibly soiled hands, after toileting, before food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Soap and water — 40-60 seconds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 difficile suspected or confirmed ward</w:t>
            </w:r>
          </w:p>
        </w:tc>
        <w:tc>
          <w:tcPr>
            <w:tcW w:type="dxa" w:w="46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Soap and water ONLY — ABHR is INEFFECTIVE against C. diff spores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Before sterile procedures (e.g., central line insertion)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Surgical hand scrub with chlorhexidine gluconate — 2-5 minutes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E0E0" w:val="clear"/>
            <w:tcMar>
              <w:top w:type="dxa" w:w="120"/>
              <w:left w:type="dxa" w:w="180"/>
              <w:bottom w:type="dxa" w:w="120"/>
              <w:right w:type="dxa" w:w="180"/>
            </w:tcMar>
          </w:tcPr>
          <w:p>
            <w:r>
              <w:rPr>
                <w:rFonts w:ascii="Arial" w:cs="Arial" w:eastAsia="Arial" w:hAnsi="Arial"/>
                <w:b/>
                <w:bCs/>
                <w:color w:val="C00000"/>
                <w:sz w:val="20"/>
                <w:szCs w:val="20"/>
              </w:rPr>
              <w:t xml:space="preserve">WARNING: </w:t>
            </w:r>
            <w:r>
              <w:rPr>
                <w:rFonts w:ascii="Arial" w:cs="Arial" w:eastAsia="Arial" w:hAnsi="Arial"/>
                <w:sz w:val="20"/>
                <w:szCs w:val="20"/>
              </w:rPr>
              <w:t xml:space="preserve">ABHR is INEFFECTIVE against Clostridium difficile and Norovirus. On any ward with suspected or confirmed C. diff or Norovirus outbreak, soap and water MUST be used for ALL hand hygiene episodes.</w:t>
            </w:r>
          </w:p>
        </w:tc>
      </w:tr>
    </w:tbl>
    <w:p>
      <w:pPr>
        <w:spacing w:after="120"/>
      </w:pPr>
    </w:p>
    <w:p>
      <w:pPr>
        <w:pStyle w:val="Heading1"/>
        <w:pBdr>
          <w:bottom w:val="single" w:color="1F4E79" w:sz="6" w:space="4"/>
        </w:pBdr>
        <w:spacing w:after="120" w:before="280"/>
      </w:pPr>
      <w:r>
        <w:rPr>
          <w:rFonts w:ascii="Arial" w:cs="Arial" w:eastAsia="Arial" w:hAnsi="Arial"/>
          <w:b/>
          <w:bCs/>
          <w:color w:val="1F4E79"/>
          <w:sz w:val="28"/>
          <w:szCs w:val="28"/>
        </w:rPr>
        <w:t xml:space="preserve">3. Step-by-Step: Alcohol-Based Hand Rub (20-30 seconds)</w:t>
      </w:r>
    </w:p>
    <w:p>
      <w:pPr>
        <w:pStyle w:val="ListParagraph"/>
        <w:numPr>
          <w:ilvl w:val="0"/>
          <w:numId w:val="2"/>
        </w:numPr>
        <w:spacing w:after="80"/>
      </w:pPr>
      <w:r>
        <w:rPr>
          <w:rFonts w:ascii="Arial" w:cs="Arial" w:eastAsia="Arial" w:hAnsi="Arial"/>
          <w:sz w:val="20"/>
          <w:szCs w:val="20"/>
        </w:rPr>
        <w:t xml:space="preserve">Apply one dose of ABHR to the palm of dry hands.</w:t>
      </w:r>
    </w:p>
    <w:p>
      <w:pPr>
        <w:pStyle w:val="ListParagraph"/>
        <w:numPr>
          <w:ilvl w:val="0"/>
          <w:numId w:val="2"/>
        </w:numPr>
        <w:spacing w:after="80"/>
      </w:pPr>
      <w:r>
        <w:rPr>
          <w:rFonts w:ascii="Arial" w:cs="Arial" w:eastAsia="Arial" w:hAnsi="Arial"/>
          <w:sz w:val="20"/>
          <w:szCs w:val="20"/>
        </w:rPr>
        <w:t xml:space="preserve">Rub palms together.</w:t>
      </w:r>
    </w:p>
    <w:p>
      <w:pPr>
        <w:pStyle w:val="ListParagraph"/>
        <w:numPr>
          <w:ilvl w:val="0"/>
          <w:numId w:val="2"/>
        </w:numPr>
        <w:spacing w:after="80"/>
      </w:pPr>
      <w:r>
        <w:rPr>
          <w:rFonts w:ascii="Arial" w:cs="Arial" w:eastAsia="Arial" w:hAnsi="Arial"/>
          <w:sz w:val="20"/>
          <w:szCs w:val="20"/>
        </w:rPr>
        <w:t xml:space="preserve">Right palm over left dorsum with interlaced fingers — repeat other side.</w:t>
      </w:r>
    </w:p>
    <w:p>
      <w:pPr>
        <w:pStyle w:val="ListParagraph"/>
        <w:numPr>
          <w:ilvl w:val="0"/>
          <w:numId w:val="2"/>
        </w:numPr>
        <w:spacing w:after="80"/>
      </w:pPr>
      <w:r>
        <w:rPr>
          <w:rFonts w:ascii="Arial" w:cs="Arial" w:eastAsia="Arial" w:hAnsi="Arial"/>
          <w:sz w:val="20"/>
          <w:szCs w:val="20"/>
        </w:rPr>
        <w:t xml:space="preserve">Palm to palm with fingers interlaced.</w:t>
      </w:r>
    </w:p>
    <w:p>
      <w:pPr>
        <w:pStyle w:val="ListParagraph"/>
        <w:numPr>
          <w:ilvl w:val="0"/>
          <w:numId w:val="2"/>
        </w:numPr>
        <w:spacing w:after="80"/>
      </w:pPr>
      <w:r>
        <w:rPr>
          <w:rFonts w:ascii="Arial" w:cs="Arial" w:eastAsia="Arial" w:hAnsi="Arial"/>
          <w:sz w:val="20"/>
          <w:szCs w:val="20"/>
        </w:rPr>
        <w:t xml:space="preserve">Backs of fingers to opposing palms with fingers interlocked.</w:t>
      </w:r>
    </w:p>
    <w:p>
      <w:pPr>
        <w:pStyle w:val="ListParagraph"/>
        <w:numPr>
          <w:ilvl w:val="0"/>
          <w:numId w:val="2"/>
        </w:numPr>
        <w:spacing w:after="80"/>
      </w:pPr>
      <w:r>
        <w:rPr>
          <w:rFonts w:ascii="Arial" w:cs="Arial" w:eastAsia="Arial" w:hAnsi="Arial"/>
          <w:sz w:val="20"/>
          <w:szCs w:val="20"/>
        </w:rPr>
        <w:t xml:space="preserve">Rotational rubbing of left thumb clasped in right palm — repeat other side.</w:t>
      </w:r>
    </w:p>
    <w:p>
      <w:pPr>
        <w:pStyle w:val="ListParagraph"/>
        <w:numPr>
          <w:ilvl w:val="0"/>
          <w:numId w:val="2"/>
        </w:numPr>
        <w:spacing w:after="80"/>
      </w:pPr>
      <w:r>
        <w:rPr>
          <w:rFonts w:ascii="Arial" w:cs="Arial" w:eastAsia="Arial" w:hAnsi="Arial"/>
          <w:sz w:val="20"/>
          <w:szCs w:val="20"/>
        </w:rPr>
        <w:t xml:space="preserve">Rotational rubbing backwards and forwards with clasped fingers of right hand in left palm — repeat other side.</w:t>
      </w:r>
    </w:p>
    <w:p>
      <w:pPr>
        <w:pStyle w:val="ListParagraph"/>
        <w:numPr>
          <w:ilvl w:val="0"/>
          <w:numId w:val="2"/>
        </w:numPr>
        <w:spacing w:after="80"/>
      </w:pPr>
      <w:r>
        <w:rPr>
          <w:rFonts w:ascii="Arial" w:cs="Arial" w:eastAsia="Arial" w:hAnsi="Arial"/>
          <w:sz w:val="20"/>
          <w:szCs w:val="20"/>
        </w:rPr>
        <w:t xml:space="preserve">Allow to dry completely. Do NOT wipe on clothing.</w:t>
      </w:r>
    </w:p>
    <w:p>
      <w:pPr>
        <w:spacing w:after="120"/>
      </w:pPr>
    </w:p>
    <w:p>
      <w:pPr>
        <w:pStyle w:val="Heading1"/>
        <w:pBdr>
          <w:bottom w:val="single" w:color="1F4E79" w:sz="6" w:space="4"/>
        </w:pBdr>
        <w:spacing w:after="120" w:before="280"/>
      </w:pPr>
      <w:r>
        <w:rPr>
          <w:rFonts w:ascii="Arial" w:cs="Arial" w:eastAsia="Arial" w:hAnsi="Arial"/>
          <w:b/>
          <w:bCs/>
          <w:color w:val="1F4E79"/>
          <w:sz w:val="28"/>
          <w:szCs w:val="28"/>
        </w:rPr>
        <w:t xml:space="preserve">4. Bare Below the Elbows (BBE) Policy</w:t>
      </w:r>
    </w:p>
    <w:p>
      <w:pPr>
        <w:spacing w:after="100"/>
      </w:pPr>
      <w:r>
        <w:rPr>
          <w:rFonts w:ascii="Arial" w:cs="Arial" w:eastAsia="Arial" w:hAnsi="Arial"/>
          <w:b w:val="false"/>
          <w:bCs w:val="false"/>
          <w:sz w:val="20"/>
          <w:szCs w:val="20"/>
        </w:rPr>
        <w:t xml:space="preserve">All clinical staff working in patient-facing areas must comply with Bare Below the Elbows at all times:</w:t>
      </w:r>
    </w:p>
    <w:p>
      <w:pPr>
        <w:pStyle w:val="ListParagraph"/>
        <w:numPr>
          <w:ilvl w:val="0"/>
          <w:numId w:val="3"/>
        </w:numPr>
        <w:spacing w:after="60"/>
      </w:pPr>
      <w:r>
        <w:rPr>
          <w:rFonts w:ascii="Arial" w:cs="Arial" w:eastAsia="Arial" w:hAnsi="Arial"/>
          <w:sz w:val="20"/>
          <w:szCs w:val="20"/>
        </w:rPr>
        <w:t xml:space="preserve">No wristwatches or bracelets</w:t>
      </w:r>
    </w:p>
    <w:p>
      <w:pPr>
        <w:pStyle w:val="ListParagraph"/>
        <w:numPr>
          <w:ilvl w:val="0"/>
          <w:numId w:val="3"/>
        </w:numPr>
        <w:spacing w:after="60"/>
      </w:pPr>
      <w:r>
        <w:rPr>
          <w:rFonts w:ascii="Arial" w:cs="Arial" w:eastAsia="Arial" w:hAnsi="Arial"/>
          <w:sz w:val="20"/>
          <w:szCs w:val="20"/>
        </w:rPr>
        <w:t xml:space="preserve">No rings (plain wedding band excepted — must be moved during hand washing)</w:t>
      </w:r>
    </w:p>
    <w:p>
      <w:pPr>
        <w:pStyle w:val="ListParagraph"/>
        <w:numPr>
          <w:ilvl w:val="0"/>
          <w:numId w:val="3"/>
        </w:numPr>
        <w:spacing w:after="60"/>
      </w:pPr>
      <w:r>
        <w:rPr>
          <w:rFonts w:ascii="Arial" w:cs="Arial" w:eastAsia="Arial" w:hAnsi="Arial"/>
          <w:sz w:val="20"/>
          <w:szCs w:val="20"/>
        </w:rPr>
        <w:t xml:space="preserve">Sleeves rolled up or short-sleeved</w:t>
      </w:r>
    </w:p>
    <w:p>
      <w:pPr>
        <w:pStyle w:val="ListParagraph"/>
        <w:numPr>
          <w:ilvl w:val="0"/>
          <w:numId w:val="3"/>
        </w:numPr>
        <w:spacing w:after="60"/>
      </w:pPr>
      <w:r>
        <w:rPr>
          <w:rFonts w:ascii="Arial" w:cs="Arial" w:eastAsia="Arial" w:hAnsi="Arial"/>
          <w:sz w:val="20"/>
          <w:szCs w:val="20"/>
        </w:rPr>
        <w:t xml:space="preserve">Fingernails short, clean, and free from nail polish or artificial nails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color w:val="7F6000"/>
                <w:sz w:val="20"/>
                <w:szCs w:val="20"/>
              </w:rPr>
              <w:t xml:space="preserve">NOTE: </w:t>
            </w:r>
            <w:r>
              <w:rPr>
                <w:rFonts w:ascii="Arial" w:cs="Arial" w:eastAsia="Arial" w:hAnsi="Arial"/>
                <w:sz w:val="20"/>
                <w:szCs w:val="20"/>
              </w:rPr>
              <w:t xml:space="preserve">Locum, bank, and agency staff are required to comply with BBE policy from their first shift. Ward managers are responsible for enforcement.</w:t>
            </w:r>
          </w:p>
        </w:tc>
      </w:tr>
    </w:tbl>
    <w:p>
      <w:pPr>
        <w:spacing w:after="120"/>
      </w:pPr>
    </w:p>
    <w:p>
      <w:pPr>
        <w:pStyle w:val="Heading1"/>
        <w:pBdr>
          <w:bottom w:val="single" w:color="1F4E79" w:sz="6" w:space="4"/>
        </w:pBdr>
        <w:spacing w:after="120" w:before="280"/>
      </w:pPr>
      <w:r>
        <w:rPr>
          <w:rFonts w:ascii="Arial" w:cs="Arial" w:eastAsia="Arial" w:hAnsi="Arial"/>
          <w:b/>
          <w:bCs/>
          <w:color w:val="1F4E79"/>
          <w:sz w:val="28"/>
          <w:szCs w:val="28"/>
        </w:rPr>
        <w:t xml:space="preserve">5. Audit &amp; Compliance</w:t>
      </w:r>
    </w:p>
    <w:p>
      <w:pPr>
        <w:spacing w:after="100"/>
      </w:pPr>
      <w:r>
        <w:rPr>
          <w:rFonts w:ascii="Arial" w:cs="Arial" w:eastAsia="Arial" w:hAnsi="Arial"/>
          <w:b w:val="false"/>
          <w:bCs w:val="false"/>
          <w:sz w:val="20"/>
          <w:szCs w:val="20"/>
        </w:rPr>
        <w:t xml:space="preserve">Hand hygiene compliance is audited monthly by the Infection Control team using the WHO Hand Hygiene Observation Tool. Results are published quarterly on ward notice boards and reported to the Infection Control Committee.</w:t>
      </w:r>
    </w:p>
    <w:p>
      <w:pPr>
        <w:pStyle w:val="ListParagraph"/>
        <w:numPr>
          <w:ilvl w:val="0"/>
          <w:numId w:val="3"/>
        </w:numPr>
        <w:spacing w:after="60"/>
      </w:pPr>
      <w:r>
        <w:rPr>
          <w:rFonts w:ascii="Arial" w:cs="Arial" w:eastAsia="Arial" w:hAnsi="Arial"/>
          <w:sz w:val="20"/>
          <w:szCs w:val="20"/>
        </w:rPr>
        <w:t xml:space="preserve">Target compliance: 95% or above</w:t>
      </w:r>
    </w:p>
    <w:p>
      <w:pPr>
        <w:pStyle w:val="ListParagraph"/>
        <w:numPr>
          <w:ilvl w:val="0"/>
          <w:numId w:val="3"/>
        </w:numPr>
        <w:spacing w:after="60"/>
      </w:pPr>
      <w:r>
        <w:rPr>
          <w:rFonts w:ascii="Arial" w:cs="Arial" w:eastAsia="Arial" w:hAnsi="Arial"/>
          <w:sz w:val="20"/>
          <w:szCs w:val="20"/>
        </w:rPr>
        <w:t xml:space="preserve">Wards below 80% will receive a targeted improvement programme</w:t>
      </w:r>
    </w:p>
    <w:p>
      <w:pPr>
        <w:pStyle w:val="ListParagraph"/>
        <w:numPr>
          <w:ilvl w:val="0"/>
          <w:numId w:val="3"/>
        </w:numPr>
        <w:spacing w:after="60"/>
      </w:pPr>
      <w:r>
        <w:rPr>
          <w:rFonts w:ascii="Arial" w:cs="Arial" w:eastAsia="Arial" w:hAnsi="Arial"/>
          <w:sz w:val="20"/>
          <w:szCs w:val="20"/>
        </w:rPr>
        <w:t xml:space="preserve">Individual non-compliance must be addressed by the line manager using the Trust behaviour framework</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rFonts w:ascii="Arial" w:cs="Arial" w:eastAsia="Arial" w:hAnsi="Arial"/>
        <w:color w:val="888888"/>
        <w:sz w:val="16"/>
        <w:szCs w:val="16"/>
      </w:rPr>
      <w:t xml:space="preserve">Northgate Regional Hospital — CONFIDENTIAL: Clinical Staff Only</w:t>
    </w:r>
    <w:r>
      <w:rPr>
        <w:rFonts w:ascii="Arial" w:cs="Arial" w:eastAsia="Arial" w:hAnsi="Arial"/>
        <w:color w:val="888888"/>
        <w:sz w:val="16"/>
        <w:szCs w:val="16"/>
      </w:rPr>
      <w:t xml:space="preserve">	INFECT-001 v2.1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2026-05-01T09:08:14.850Z</dcterms:created>
  <dcterms:modified xsi:type="dcterms:W3CDTF">2026-05-01T09:08:14.850Z</dcterms:modified>
</cp:coreProperties>
</file>

<file path=docProps/custom.xml><?xml version="1.0" encoding="utf-8"?>
<Properties xmlns="http://schemas.openxmlformats.org/officeDocument/2006/custom-properties" xmlns:vt="http://schemas.openxmlformats.org/officeDocument/2006/docPropsVTypes"/>
</file>