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B2545"/>
          <w:sz w:val="56"/>
          <w:szCs w:val="56"/>
        </w:rPr>
        <w:t xml:space="preserve">CAHIER DES CHARGES</w:t>
      </w:r>
    </w:p>
    <w:p>
      <w:pPr>
        <w:spacing w:after="0" w:before="40"/>
        <w:jc w:val="center"/>
      </w:pPr>
      <w:r>
        <w:rPr>
          <w:rFonts w:ascii="Calibri" w:cs="Calibri" w:eastAsia="Calibri" w:hAnsi="Calibri"/>
          <w:color w:val="1B6CA8"/>
          <w:sz w:val="30"/>
          <w:szCs w:val="30"/>
        </w:rPr>
        <w:t xml:space="preserve">Plateforme de supervision et de sécurisation du trafic réseau</w:t>
      </w:r>
    </w:p>
    <w:p>
      <w:pPr>
        <w:spacing w:after="400" w:before="20"/>
        <w:jc w:val="center"/>
      </w:pPr>
      <w:r>
        <w:rPr>
          <w:rFonts w:ascii="Calibri" w:cs="Calibri" w:eastAsia="Calibri" w:hAnsi="Calibri"/>
          <w:i/>
          <w:iCs/>
          <w:color w:val="3A3F46"/>
          <w:sz w:val="22"/>
          <w:szCs w:val="22"/>
        </w:rPr>
        <w:t xml:space="preserve">Network Detection &amp; Response · IDS/IPS · Gestion de trafic</w:t>
      </w:r>
    </w:p>
    <w:p>
      <w:pPr>
        <w:spacing w:after="0" w:before="200"/>
        <w:jc w:val="center"/>
      </w:pPr>
      <w:r>
        <w:rPr>
          <w:rFonts w:ascii="Calibri" w:cs="Calibri" w:eastAsia="Calibri" w:hAnsi="Calibri"/>
          <w:color w:val="3A3F46"/>
          <w:sz w:val="24"/>
          <w:szCs w:val="24"/>
        </w:rPr>
        <w:t xml:space="preserve">Nom de l’application : </w:t>
      </w:r>
      <w:r>
        <w:rPr>
          <w:rFonts w:ascii="Calibri" w:cs="Calibri" w:eastAsia="Calibri" w:hAnsi="Calibri"/>
          <w:b/>
          <w:bCs/>
          <w:color w:val="2EC4B6"/>
          <w:sz w:val="24"/>
          <w:szCs w:val="24"/>
        </w:rPr>
        <w:t xml:space="preserve">SentiNet</w:t>
      </w:r>
    </w:p>
    <w:p>
      <w:pPr>
        <w:spacing w:after="240"/>
      </w:pPr>
      <w:r>
        <w:rPr>
          <w:rFonts w:ascii="Calibri" w:cs="Calibri" w:eastAsia="Calibri" w:hAnsi="Calibri"/>
        </w:rPr>
        <w:t xml:space="preserve"/>
      </w:r>
    </w:p>
    <w:tbl>
      <w:tblPr>
        <w:tblW w:type="dxa" w:w="9360"/>
        <w:jc w:val="center"/>
        <w:tblBorders>
          <w:top w:val="single" w:color="C7D2DE" w:sz="4"/>
          <w:left w:val="single" w:color="C7D2DE" w:sz="4"/>
          <w:bottom w:val="single" w:color="C7D2DE" w:sz="4"/>
          <w:right w:val="single" w:color="C7D2DE" w:sz="4"/>
          <w:insideH w:val="single" w:color="C7D2DE" w:sz="2"/>
          <w:insideV w:val="single" w:color="C7D2DE" w:sz="2"/>
        </w:tblBorders>
      </w:tblPr>
      <w:tblGrid>
        <w:gridCol w:w="3000"/>
        <w:gridCol w:w="6360"/>
      </w:tblGrid>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Type de document</w:t>
            </w:r>
          </w:p>
        </w:tc>
        <w:tc>
          <w:tcPr>
            <w:tcW w:type="dxa" w:w="6360"/>
            <w:shd w:fill="FFFFFF" w:val="clear"/>
            <w:tcMar>
              <w:top w:type="dxa" w:w="70"/>
              <w:left w:type="dxa" w:w="120"/>
              <w:bottom w:type="dxa" w:w="70"/>
              <w:right w:type="dxa" w:w="100"/>
            </w:tcMar>
          </w:tcPr>
          <w:p>
            <w:r>
              <w:rPr>
                <w:rFonts w:ascii="Calibri" w:cs="Calibri" w:eastAsia="Calibri" w:hAnsi="Calibri"/>
                <w:color w:val="3A3F46"/>
                <w:sz w:val="20"/>
                <w:szCs w:val="20"/>
              </w:rPr>
              <w:t xml:space="preserve">Cahier des charges fonctionnel et technique (CdCF/T)</w:t>
            </w:r>
          </w:p>
        </w:tc>
      </w:tr>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Version</w:t>
            </w:r>
          </w:p>
        </w:tc>
        <w:tc>
          <w:tcPr>
            <w:tcW w:type="dxa" w:w="6360"/>
            <w:shd w:fill="F6F9FC" w:val="clear"/>
            <w:tcMar>
              <w:top w:type="dxa" w:w="70"/>
              <w:left w:type="dxa" w:w="120"/>
              <w:bottom w:type="dxa" w:w="70"/>
              <w:right w:type="dxa" w:w="100"/>
            </w:tcMar>
          </w:tcPr>
          <w:p>
            <w:r>
              <w:rPr>
                <w:rFonts w:ascii="Calibri" w:cs="Calibri" w:eastAsia="Calibri" w:hAnsi="Calibri"/>
                <w:color w:val="3A3F46"/>
                <w:sz w:val="20"/>
                <w:szCs w:val="20"/>
              </w:rPr>
              <w:t xml:space="preserve">1.0 — Version initiale</w:t>
            </w:r>
          </w:p>
        </w:tc>
      </w:tr>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Date</w:t>
            </w:r>
          </w:p>
        </w:tc>
        <w:tc>
          <w:tcPr>
            <w:tcW w:type="dxa" w:w="6360"/>
            <w:shd w:fill="FFFFFF" w:val="clear"/>
            <w:tcMar>
              <w:top w:type="dxa" w:w="70"/>
              <w:left w:type="dxa" w:w="120"/>
              <w:bottom w:type="dxa" w:w="70"/>
              <w:right w:type="dxa" w:w="100"/>
            </w:tcMar>
          </w:tcPr>
          <w:p>
            <w:r>
              <w:rPr>
                <w:rFonts w:ascii="Calibri" w:cs="Calibri" w:eastAsia="Calibri" w:hAnsi="Calibri"/>
                <w:color w:val="3A3F46"/>
                <w:sz w:val="20"/>
                <w:szCs w:val="20"/>
              </w:rPr>
              <w:t xml:space="preserve">Juillet 2026</w:t>
            </w:r>
          </w:p>
        </w:tc>
      </w:tr>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Statut</w:t>
            </w:r>
          </w:p>
        </w:tc>
        <w:tc>
          <w:tcPr>
            <w:tcW w:type="dxa" w:w="6360"/>
            <w:shd w:fill="F6F9FC" w:val="clear"/>
            <w:tcMar>
              <w:top w:type="dxa" w:w="70"/>
              <w:left w:type="dxa" w:w="120"/>
              <w:bottom w:type="dxa" w:w="70"/>
              <w:right w:type="dxa" w:w="100"/>
            </w:tcMar>
          </w:tcPr>
          <w:p>
            <w:r>
              <w:rPr>
                <w:rFonts w:ascii="Calibri" w:cs="Calibri" w:eastAsia="Calibri" w:hAnsi="Calibri"/>
                <w:color w:val="3A3F46"/>
                <w:sz w:val="20"/>
                <w:szCs w:val="20"/>
              </w:rPr>
              <w:t xml:space="preserve">Pour validation</w:t>
            </w:r>
          </w:p>
        </w:tc>
      </w:tr>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Classification</w:t>
            </w:r>
          </w:p>
        </w:tc>
        <w:tc>
          <w:tcPr>
            <w:tcW w:type="dxa" w:w="6360"/>
            <w:shd w:fill="FFFFFF" w:val="clear"/>
            <w:tcMar>
              <w:top w:type="dxa" w:w="70"/>
              <w:left w:type="dxa" w:w="120"/>
              <w:bottom w:type="dxa" w:w="70"/>
              <w:right w:type="dxa" w:w="100"/>
            </w:tcMar>
          </w:tcPr>
          <w:p>
            <w:r>
              <w:rPr>
                <w:rFonts w:ascii="Calibri" w:cs="Calibri" w:eastAsia="Calibri" w:hAnsi="Calibri"/>
                <w:color w:val="3A3F46"/>
                <w:sz w:val="20"/>
                <w:szCs w:val="20"/>
              </w:rPr>
              <w:t xml:space="preserve">Diffusion restreinte — Interne</w:t>
            </w:r>
          </w:p>
        </w:tc>
      </w:tr>
      <w:tr>
        <w:tc>
          <w:tcPr>
            <w:tcW w:type="dxa" w:w="3000"/>
            <w:shd w:fill="0B2545" w:val="clear"/>
            <w:tcMar>
              <w:top w:type="dxa" w:w="70"/>
              <w:left w:type="dxa" w:w="120"/>
              <w:bottom w:type="dxa" w:w="70"/>
              <w:right w:type="dxa" w:w="100"/>
            </w:tcMar>
          </w:tcPr>
          <w:p>
            <w:r>
              <w:rPr>
                <w:rFonts w:ascii="Calibri" w:cs="Calibri" w:eastAsia="Calibri" w:hAnsi="Calibri"/>
                <w:b/>
                <w:bCs/>
                <w:color w:val="FFFFFF"/>
                <w:sz w:val="20"/>
                <w:szCs w:val="20"/>
              </w:rPr>
              <w:t xml:space="preserve">Périmètre</w:t>
            </w:r>
          </w:p>
        </w:tc>
        <w:tc>
          <w:tcPr>
            <w:tcW w:type="dxa" w:w="6360"/>
            <w:shd w:fill="F6F9FC" w:val="clear"/>
            <w:tcMar>
              <w:top w:type="dxa" w:w="70"/>
              <w:left w:type="dxa" w:w="120"/>
              <w:bottom w:type="dxa" w:w="70"/>
              <w:right w:type="dxa" w:w="100"/>
            </w:tcMar>
          </w:tcPr>
          <w:p>
            <w:r>
              <w:rPr>
                <w:rFonts w:ascii="Calibri" w:cs="Calibri" w:eastAsia="Calibri" w:hAnsi="Calibri"/>
                <w:color w:val="3A3F46"/>
                <w:sz w:val="20"/>
                <w:szCs w:val="20"/>
              </w:rPr>
              <w:t xml:space="preserve">Sécurité réseau, supervision, réponse aux incidents</w:t>
            </w:r>
          </w:p>
        </w:tc>
      </w:tr>
    </w:tbl>
    <w:p>
      <w:pPr>
        <w:spacing w:before="500"/>
        <w:jc w:val="center"/>
      </w:pPr>
      <w:r>
        <w:rPr>
          <w:rFonts w:ascii="Calibri" w:cs="Calibri" w:eastAsia="Calibri" w:hAnsi="Calibri"/>
          <w:i/>
          <w:iCs/>
          <w:color w:val="3A3F46"/>
          <w:sz w:val="18"/>
          <w:szCs w:val="18"/>
        </w:rPr>
        <w:t xml:space="preserve">Document confidentiel — ne pas diffuser hors du périmètre autorisé</w:t>
      </w:r>
    </w:p>
    <w:p>
      <w:r>
        <w:br w:type="page"/>
      </w:r>
    </w:p>
    <w:p>
      <w:pPr>
        <w:spacing w:after="160"/>
      </w:pPr>
      <w:r>
        <w:rPr>
          <w:rFonts w:ascii="Calibri" w:cs="Calibri" w:eastAsia="Calibri" w:hAnsi="Calibri"/>
          <w:b/>
          <w:bCs/>
          <w:color w:val="0B2545"/>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B2545"/>
          <w:sz w:val="30"/>
          <w:szCs w:val="30"/>
        </w:rPr>
        <w:t xml:space="preserve">1. Présentation générale du projet</w:t>
      </w:r>
    </w:p>
    <w:p>
      <w:pPr>
        <w:pStyle w:val="Heading2"/>
        <w:spacing w:after="120" w:before="240"/>
      </w:pPr>
      <w:r>
        <w:rPr>
          <w:rFonts w:ascii="Calibri" w:cs="Calibri" w:eastAsia="Calibri" w:hAnsi="Calibri"/>
          <w:b/>
          <w:bCs/>
          <w:color w:val="13315C"/>
          <w:sz w:val="25"/>
          <w:szCs w:val="25"/>
        </w:rPr>
        <w:t xml:space="preserve">1.1 Contexte et enjeux</w:t>
      </w:r>
    </w:p>
    <w:p>
      <w:pPr>
        <w:spacing w:after="120" w:line="276"/>
      </w:pPr>
      <w:r>
        <w:rPr>
          <w:rFonts w:ascii="Calibri" w:cs="Calibri" w:eastAsia="Calibri" w:hAnsi="Calibri"/>
        </w:rPr>
        <w:t xml:space="preserve">Les réseaux d’entreprise sont aujourd’hui exposés à une surface d’attaque en croissance continue : multiplication des équipements connectés, ouverture vers le cloud, télétravail, interconnexions avec des prestataires et des hébergeurs tiers. Dans le même temps, les techniques d’intrusion se sophistiquent (chaînes d’attaque multi-étapes, mouvements latéraux discrets, exfiltration chiffrée, canaux de commande et contrôle furtifs).</w:t>
      </w:r>
    </w:p>
    <w:p>
      <w:pPr>
        <w:spacing w:after="120" w:line="276"/>
      </w:pPr>
      <w:r>
        <w:rPr>
          <w:rFonts w:ascii="Calibri" w:cs="Calibri" w:eastAsia="Calibri" w:hAnsi="Calibri"/>
        </w:rPr>
        <w:t xml:space="preserve">Les dispositifs périmétriques classiques (pare-feu, antivirus) ne suffisent plus à garantir l’intégrité du réseau. Il devient indispensable de disposer d’une visibilité complète et temps réel sur l’ensemble du trafic — nord/sud comme est/ouest — afin de détecter, qualifier et neutraliser les menaces au plus tôt, tout en maintenant la qualité de service pour les usages légitimes.</w:t>
      </w:r>
    </w:p>
    <w:tbl>
      <w:tblPr>
        <w:tblW w:type="dxa" w:w="9360"/>
        <w:tblBorders>
          <w:top w:val="single" w:color="EEF3F8" w:sz="2"/>
          <w:left w:val="single" w:color="1B6CA8"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Constat de départ</w:t>
            </w:r>
          </w:p>
          <w:p>
            <w:pPr>
              <w:spacing w:after="60" w:line="264"/>
            </w:pPr>
            <w:r>
              <w:rPr>
                <w:rFonts w:ascii="Calibri" w:cs="Calibri" w:eastAsia="Calibri" w:hAnsi="Calibri"/>
                <w:color w:val="3A3F46"/>
                <w:sz w:val="20"/>
                <w:szCs w:val="20"/>
              </w:rPr>
              <w:t xml:space="preserve">Manque de visibilité sur le trafic interne (est/ouest) et sur les flux chiffrés.</w:t>
            </w:r>
          </w:p>
          <w:p>
            <w:pPr>
              <w:spacing w:after="60" w:line="264"/>
            </w:pPr>
            <w:r>
              <w:rPr>
                <w:rFonts w:ascii="Calibri" w:cs="Calibri" w:eastAsia="Calibri" w:hAnsi="Calibri"/>
                <w:color w:val="3A3F46"/>
                <w:sz w:val="20"/>
                <w:szCs w:val="20"/>
              </w:rPr>
              <w:t xml:space="preserve">Détection tardive des intrusions et temps de réponse (MTTD/MTTR) trop élevés.</w:t>
            </w:r>
          </w:p>
          <w:p>
            <w:pPr>
              <w:spacing w:after="60" w:line="264"/>
            </w:pPr>
            <w:r>
              <w:rPr>
                <w:rFonts w:ascii="Calibri" w:cs="Calibri" w:eastAsia="Calibri" w:hAnsi="Calibri"/>
                <w:color w:val="3A3F46"/>
                <w:sz w:val="20"/>
                <w:szCs w:val="20"/>
              </w:rPr>
              <w:t xml:space="preserve">Absence d’outil unifié combinant supervision, détection, réponse et gestion de la qualité de trafic.</w:t>
            </w:r>
          </w:p>
          <w:p>
            <w:pPr>
              <w:spacing w:after="0" w:line="264"/>
            </w:pPr>
            <w:r>
              <w:rPr>
                <w:rFonts w:ascii="Calibri" w:cs="Calibri" w:eastAsia="Calibri" w:hAnsi="Calibri"/>
                <w:color w:val="3A3F46"/>
                <w:sz w:val="20"/>
                <w:szCs w:val="20"/>
              </w:rPr>
              <w:t xml:space="preserve">Besoin de conformité (RGPD, directive NIS2, référentiels ANSSI, ISO/IEC 27001).</w:t>
            </w:r>
          </w:p>
        </w:tc>
      </w:tr>
    </w:tbl>
    <w:p>
      <w:pPr>
        <w:pStyle w:val="Heading2"/>
        <w:spacing w:after="120" w:before="240"/>
      </w:pPr>
      <w:r>
        <w:rPr>
          <w:rFonts w:ascii="Calibri" w:cs="Calibri" w:eastAsia="Calibri" w:hAnsi="Calibri"/>
          <w:b/>
          <w:bCs/>
          <w:color w:val="13315C"/>
          <w:sz w:val="25"/>
          <w:szCs w:val="25"/>
        </w:rPr>
        <w:t xml:space="preserve">1.2 Objectif du projet</w:t>
      </w:r>
    </w:p>
    <w:p>
      <w:pPr>
        <w:spacing w:after="120" w:line="276"/>
      </w:pPr>
      <w:r>
        <w:rPr>
          <w:rFonts w:ascii="Calibri" w:cs="Calibri" w:eastAsia="Calibri" w:hAnsi="Calibri"/>
        </w:rPr>
        <w:t xml:space="preserve">Le projet </w:t>
      </w:r>
      <w:r>
        <w:rPr>
          <w:rFonts w:ascii="Calibri" w:cs="Calibri" w:eastAsia="Calibri" w:hAnsi="Calibri"/>
          <w:b/>
          <w:bCs/>
          <w:color w:val="1B6CA8"/>
        </w:rPr>
        <w:t xml:space="preserve">SentiNet</w:t>
      </w:r>
      <w:r>
        <w:rPr>
          <w:rFonts w:ascii="Calibri" w:cs="Calibri" w:eastAsia="Calibri" w:hAnsi="Calibri"/>
        </w:rPr>
        <w:t xml:space="preserve"> vise à concevoir et déployer une plateforme logicielle unifiée, performante et hautement automatisée, permettant de :</w:t>
      </w:r>
    </w:p>
    <w:p>
      <w:pPr>
        <w:pStyle w:val="ListParagraph"/>
        <w:numPr>
          <w:ilvl w:val="0"/>
          <w:numId w:val="1"/>
        </w:numPr>
        <w:spacing w:after="60" w:line="264"/>
      </w:pPr>
      <w:r>
        <w:rPr>
          <w:rFonts w:ascii="Calibri" w:cs="Calibri" w:eastAsia="Calibri" w:hAnsi="Calibri"/>
          <w:b/>
          <w:bCs/>
        </w:rPr>
        <w:t xml:space="preserve">Superviser </w:t>
      </w:r>
      <w:r>
        <w:rPr>
          <w:rFonts w:ascii="Calibri" w:cs="Calibri" w:eastAsia="Calibri" w:hAnsi="Calibri"/>
        </w:rPr>
        <w:t xml:space="preserve">l’intégralité du trafic réseau en temps réel, jusqu’à la couche applicative (couche 7).</w:t>
      </w:r>
    </w:p>
    <w:p>
      <w:pPr>
        <w:pStyle w:val="ListParagraph"/>
        <w:numPr>
          <w:ilvl w:val="0"/>
          <w:numId w:val="1"/>
        </w:numPr>
        <w:spacing w:after="60" w:line="264"/>
      </w:pPr>
      <w:r>
        <w:rPr>
          <w:rFonts w:ascii="Calibri" w:cs="Calibri" w:eastAsia="Calibri" w:hAnsi="Calibri"/>
          <w:b/>
          <w:bCs/>
        </w:rPr>
        <w:t xml:space="preserve">Détecter </w:t>
      </w:r>
      <w:r>
        <w:rPr>
          <w:rFonts w:ascii="Calibri" w:cs="Calibri" w:eastAsia="Calibri" w:hAnsi="Calibri"/>
        </w:rPr>
        <w:t xml:space="preserve">l’ensemble des méthodes d’attaque et d’intrusion connues et inconnues (signatures, anomalies comportementales, apprentissage automatique).</w:t>
      </w:r>
    </w:p>
    <w:p>
      <w:pPr>
        <w:pStyle w:val="ListParagraph"/>
        <w:numPr>
          <w:ilvl w:val="0"/>
          <w:numId w:val="1"/>
        </w:numPr>
        <w:spacing w:after="60" w:line="264"/>
      </w:pPr>
      <w:r>
        <w:rPr>
          <w:rFonts w:ascii="Calibri" w:cs="Calibri" w:eastAsia="Calibri" w:hAnsi="Calibri"/>
          <w:b/>
          <w:bCs/>
        </w:rPr>
        <w:t xml:space="preserve">Interagir </w:t>
      </w:r>
      <w:r>
        <w:rPr>
          <w:rFonts w:ascii="Calibri" w:cs="Calibri" w:eastAsia="Calibri" w:hAnsi="Calibri"/>
        </w:rPr>
        <w:t xml:space="preserve">avec le réseau pour bloquer, isoler ou réorienter les flux malveillants, et fluidifier le trafic légitime (QoS, priorisation, équilibrage).</w:t>
      </w:r>
    </w:p>
    <w:p>
      <w:pPr>
        <w:pStyle w:val="ListParagraph"/>
        <w:numPr>
          <w:ilvl w:val="0"/>
          <w:numId w:val="1"/>
        </w:numPr>
        <w:spacing w:after="60" w:line="264"/>
      </w:pPr>
      <w:r>
        <w:rPr>
          <w:rFonts w:ascii="Calibri" w:cs="Calibri" w:eastAsia="Calibri" w:hAnsi="Calibri"/>
          <w:b/>
          <w:bCs/>
        </w:rPr>
        <w:t xml:space="preserve">Répondre </w:t>
      </w:r>
      <w:r>
        <w:rPr>
          <w:rFonts w:ascii="Calibri" w:cs="Calibri" w:eastAsia="Calibri" w:hAnsi="Calibri"/>
        </w:rPr>
        <w:t xml:space="preserve">automatiquement ou de manière semi-automatique aux incidents, afin de préserver l’intégrité, la confidentialité et la disponibilité du réseau.</w:t>
      </w:r>
    </w:p>
    <w:p>
      <w:pPr>
        <w:pStyle w:val="ListParagraph"/>
        <w:numPr>
          <w:ilvl w:val="0"/>
          <w:numId w:val="1"/>
        </w:numPr>
        <w:spacing w:after="60" w:line="264"/>
      </w:pPr>
      <w:r>
        <w:rPr>
          <w:rFonts w:ascii="Calibri" w:cs="Calibri" w:eastAsia="Calibri" w:hAnsi="Calibri"/>
          <w:b/>
          <w:bCs/>
        </w:rPr>
        <w:t xml:space="preserve">Tracer et documenter </w:t>
      </w:r>
      <w:r>
        <w:rPr>
          <w:rFonts w:ascii="Calibri" w:cs="Calibri" w:eastAsia="Calibri" w:hAnsi="Calibri"/>
        </w:rPr>
        <w:t xml:space="preserve">chaque événement à des fins d’investigation (forensics) et de conformité réglementaire.</w:t>
      </w:r>
    </w:p>
    <w:p>
      <w:pPr>
        <w:pStyle w:val="Heading2"/>
        <w:spacing w:after="120" w:before="240"/>
      </w:pPr>
      <w:r>
        <w:rPr>
          <w:rFonts w:ascii="Calibri" w:cs="Calibri" w:eastAsia="Calibri" w:hAnsi="Calibri"/>
          <w:b/>
          <w:bCs/>
          <w:color w:val="13315C"/>
          <w:sz w:val="25"/>
          <w:szCs w:val="25"/>
        </w:rPr>
        <w:t xml:space="preserve">1.3 Périmètre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300"/>
        <w:gridCol w:w="3530"/>
        <w:gridCol w:w="3530"/>
      </w:tblGrid>
      <w:tr>
        <w:trPr>
          <w:tblHeader/>
        </w:trPr>
        <w:tc>
          <w:tcPr>
            <w:tcW w:type="dxa" w:w="23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Axe</w:t>
            </w:r>
          </w:p>
        </w:tc>
        <w:tc>
          <w:tcPr>
            <w:tcW w:type="dxa" w:w="353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Inclus dans le périmètre</w:t>
            </w:r>
          </w:p>
        </w:tc>
        <w:tc>
          <w:tcPr>
            <w:tcW w:type="dxa" w:w="353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Hors périmètre (V1)</w:t>
            </w:r>
          </w:p>
        </w:tc>
      </w:tr>
      <w:tr>
        <w:tc>
          <w:tcPr>
            <w:tcW w:type="dxa" w:w="23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Trafic</w:t>
            </w:r>
          </w:p>
        </w:tc>
        <w:tc>
          <w:tcPr>
            <w:tcW w:type="dxa" w:w="35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LAN, VLAN, DMZ, liaisons WAN/Internet, interconnexions data-center, flux est/ouest de virtualisation</w:t>
            </w:r>
          </w:p>
        </w:tc>
        <w:tc>
          <w:tcPr>
            <w:tcW w:type="dxa" w:w="35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Analyse en profondeur du contenu applicatif métier propriétaire non documenté</w:t>
            </w:r>
          </w:p>
        </w:tc>
      </w:tr>
      <w:tr>
        <w:tc>
          <w:tcPr>
            <w:tcW w:type="dxa" w:w="23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Couches OSI</w:t>
            </w:r>
          </w:p>
        </w:tc>
        <w:tc>
          <w:tcPr>
            <w:tcW w:type="dxa" w:w="35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Couches 2 à 7 (Ethernet → applicatif)</w:t>
            </w:r>
          </w:p>
        </w:tc>
        <w:tc>
          <w:tcPr>
            <w:tcW w:type="dxa" w:w="35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Analyse radio/spectre (Wi-Fi bas niveau, SDR)</w:t>
            </w:r>
          </w:p>
        </w:tc>
      </w:tr>
      <w:tr>
        <w:tc>
          <w:tcPr>
            <w:tcW w:type="dxa" w:w="23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Fonctions</w:t>
            </w:r>
          </w:p>
        </w:tc>
        <w:tc>
          <w:tcPr>
            <w:tcW w:type="dxa" w:w="35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Capture, DPI, détection, réponse, QoS, reporting, threat intelligence</w:t>
            </w:r>
          </w:p>
        </w:tc>
        <w:tc>
          <w:tcPr>
            <w:tcW w:type="dxa" w:w="35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EDR poste de travail (complémentaire, via intégration)</w:t>
            </w:r>
          </w:p>
        </w:tc>
      </w:tr>
      <w:tr>
        <w:tc>
          <w:tcPr>
            <w:tcW w:type="dxa" w:w="23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Déploiement</w:t>
            </w:r>
          </w:p>
        </w:tc>
        <w:tc>
          <w:tcPr>
            <w:tcW w:type="dxa" w:w="35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Mode passif (IDS/tap/SPAN) et mode en coupure (IPS inline)</w:t>
            </w:r>
          </w:p>
        </w:tc>
        <w:tc>
          <w:tcPr>
            <w:tcW w:type="dxa" w:w="35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Sécurité physique des équipements</w:t>
            </w:r>
          </w:p>
        </w:tc>
      </w:tr>
    </w:tbl>
    <w:p>
      <w:pPr>
        <w:pStyle w:val="Heading2"/>
        <w:spacing w:after="120" w:before="240"/>
      </w:pPr>
      <w:r>
        <w:rPr>
          <w:rFonts w:ascii="Calibri" w:cs="Calibri" w:eastAsia="Calibri" w:hAnsi="Calibri"/>
          <w:b/>
          <w:bCs/>
          <w:color w:val="13315C"/>
          <w:sz w:val="25"/>
          <w:szCs w:val="25"/>
        </w:rPr>
        <w:t xml:space="preserve">1.4 Utilisateurs cibles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600"/>
        <w:gridCol w:w="6760"/>
      </w:tblGrid>
      <w:tr>
        <w:trPr>
          <w:tblHeader/>
        </w:trPr>
        <w:tc>
          <w:tcPr>
            <w:tcW w:type="dxa" w:w="26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Profil</w:t>
            </w:r>
          </w:p>
        </w:tc>
        <w:tc>
          <w:tcPr>
            <w:tcW w:type="dxa" w:w="67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Attentes principales</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Analyste SOC / N1-N2</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Tri des alertes, investigation, qualification, réponse guidée.</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Ingénieur sécurité / N3</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Réglage des règles, threat hunting, forensics, tuning des modèles.</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Administrateur réseau</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Supervision des flux, QoS, dépannage de performance, cartographie.</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RSSI / management</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Tableaux de bord de synthèse, indicateurs de risque, reporting de conformité.</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Administrateur de la plateforme</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Gestion des comptes, des sondes, des mises à jour, de la haute disponibilité.</w:t>
            </w:r>
          </w:p>
        </w:tc>
      </w:tr>
    </w:tbl>
    <w:p>
      <w:pPr>
        <w:pStyle w:val="Heading2"/>
        <w:spacing w:after="120" w:before="240"/>
      </w:pPr>
      <w:r>
        <w:rPr>
          <w:rFonts w:ascii="Calibri" w:cs="Calibri" w:eastAsia="Calibri" w:hAnsi="Calibri"/>
          <w:b/>
          <w:bCs/>
          <w:color w:val="13315C"/>
          <w:sz w:val="25"/>
          <w:szCs w:val="25"/>
        </w:rPr>
        <w:t xml:space="preserve">1.5 Glossaire et acronymes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100"/>
        <w:gridCol w:w="7260"/>
      </w:tblGrid>
      <w:tr>
        <w:trPr>
          <w:tblHeader/>
        </w:trPr>
        <w:tc>
          <w:tcPr>
            <w:tcW w:type="dxa" w:w="21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Terme</w:t>
            </w:r>
          </w:p>
        </w:tc>
        <w:tc>
          <w:tcPr>
            <w:tcW w:type="dxa" w:w="72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Définition</w:t>
            </w:r>
          </w:p>
        </w:tc>
      </w:tr>
      <w:tr>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NDR</w:t>
            </w:r>
          </w:p>
        </w:tc>
        <w:tc>
          <w:tcPr>
            <w:tcW w:type="dxa" w:w="72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Network Detection and Response — détection et réponse au niveau réseau.</w:t>
            </w:r>
          </w:p>
        </w:tc>
      </w:tr>
      <w:tr>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IDS / IPS</w:t>
            </w:r>
          </w:p>
        </w:tc>
        <w:tc>
          <w:tcPr>
            <w:tcW w:type="dxa" w:w="72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Système de détection / de prévention d’intrusion (passif / en coupure).</w:t>
            </w:r>
          </w:p>
        </w:tc>
      </w:tr>
      <w:tr>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DPI</w:t>
            </w:r>
          </w:p>
        </w:tc>
        <w:tc>
          <w:tcPr>
            <w:tcW w:type="dxa" w:w="72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Deep Packet Inspection — inspection approfondie du contenu des paquets.</w:t>
            </w:r>
          </w:p>
        </w:tc>
      </w:tr>
      <w:tr>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DPDK / PF_RING</w:t>
            </w:r>
          </w:p>
        </w:tc>
        <w:tc>
          <w:tcPr>
            <w:tcW w:type="dxa" w:w="72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Bibliothèques de capture haute performance en espace utilisateur.</w:t>
            </w:r>
          </w:p>
        </w:tc>
      </w:tr>
      <w:tr>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NetFlow / IPFIX / sFlow</w:t>
            </w:r>
          </w:p>
        </w:tc>
        <w:tc>
          <w:tcPr>
            <w:tcW w:type="dxa" w:w="72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Protocoles d’export de métadonnées de flux réseau.</w:t>
            </w:r>
          </w:p>
        </w:tc>
      </w:tr>
      <w:tr>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SOAR</w:t>
            </w:r>
          </w:p>
        </w:tc>
        <w:tc>
          <w:tcPr>
            <w:tcW w:type="dxa" w:w="72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Security Orchestration, Automation and Response — orchestration de la réponse.</w:t>
            </w:r>
          </w:p>
        </w:tc>
      </w:tr>
      <w:tr>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IoC / IoA</w:t>
            </w:r>
          </w:p>
        </w:tc>
        <w:tc>
          <w:tcPr>
            <w:tcW w:type="dxa" w:w="72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Indicateur de Compromission / d’Attaque.</w:t>
            </w:r>
          </w:p>
        </w:tc>
      </w:tr>
      <w:tr>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MTTD / MTTR</w:t>
            </w:r>
          </w:p>
        </w:tc>
        <w:tc>
          <w:tcPr>
            <w:tcW w:type="dxa" w:w="72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Temps moyen de détection / de réponse.</w:t>
            </w:r>
          </w:p>
        </w:tc>
      </w:tr>
      <w:tr>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MITRE ATT&amp;CK</w:t>
            </w:r>
          </w:p>
        </w:tc>
        <w:tc>
          <w:tcPr>
            <w:tcW w:type="dxa" w:w="72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Base de connaissance des tactiques et techniques adverses.</w:t>
            </w:r>
          </w:p>
        </w:tc>
      </w:tr>
      <w:tr>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QoS</w:t>
            </w:r>
          </w:p>
        </w:tc>
        <w:tc>
          <w:tcPr>
            <w:tcW w:type="dxa" w:w="72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Quality of Service — mécanismes de priorisation et de gestion de bande passante.</w:t>
            </w:r>
          </w:p>
        </w:tc>
      </w:tr>
    </w:tbl>
    <w:p>
      <w:r>
        <w:br w:type="page"/>
      </w:r>
    </w:p>
    <w:p>
      <w:pPr>
        <w:pStyle w:val="Heading1"/>
        <w:spacing w:after="160" w:before="320"/>
      </w:pPr>
      <w:r>
        <w:rPr>
          <w:rFonts w:ascii="Calibri" w:cs="Calibri" w:eastAsia="Calibri" w:hAnsi="Calibri"/>
          <w:b/>
          <w:bCs/>
          <w:color w:val="0B2545"/>
          <w:sz w:val="30"/>
          <w:szCs w:val="30"/>
        </w:rPr>
        <w:t xml:space="preserve">2. Objectifs détaillés et bénéfices attendus</w:t>
      </w:r>
    </w:p>
    <w:p>
      <w:pPr>
        <w:spacing w:after="120" w:line="276"/>
      </w:pPr>
      <w:r>
        <w:rPr>
          <w:rFonts w:ascii="Calibri" w:cs="Calibri" w:eastAsia="Calibri" w:hAnsi="Calibri"/>
        </w:rPr>
        <w:t xml:space="preserve">Les objectifs sont exprimés de façon mesurable afin de servir de base à la recette et au suivi de performance de la solution.</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700"/>
        <w:gridCol w:w="4330"/>
        <w:gridCol w:w="2100"/>
        <w:gridCol w:w="2230"/>
      </w:tblGrid>
      <w:tr>
        <w:trPr>
          <w:tblHeader/>
        </w:trPr>
        <w:tc>
          <w:tcPr>
            <w:tcW w:type="dxa" w:w="7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433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Objectif</w:t>
            </w:r>
          </w:p>
        </w:tc>
        <w:tc>
          <w:tcPr>
            <w:tcW w:type="dxa" w:w="21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Bénéfice</w:t>
            </w:r>
          </w:p>
        </w:tc>
        <w:tc>
          <w:tcPr>
            <w:tcW w:type="dxa" w:w="223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Indicateur cible</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O1</w:t>
            </w:r>
          </w:p>
        </w:tc>
        <w:tc>
          <w:tcPr>
            <w:tcW w:type="dxa" w:w="43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Visibilité exhaustive du trafic réseau en temps réel</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Suppression des angles morts</w:t>
            </w:r>
          </w:p>
        </w:tc>
        <w:tc>
          <w:tcPr>
            <w:tcW w:type="dxa" w:w="22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99,9 % des flux capturés</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O2</w:t>
            </w:r>
          </w:p>
        </w:tc>
        <w:tc>
          <w:tcPr>
            <w:tcW w:type="dxa" w:w="43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Détection précoce des intrusions</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Réduction de l’impact</w:t>
            </w:r>
          </w:p>
        </w:tc>
        <w:tc>
          <w:tcPr>
            <w:tcW w:type="dxa" w:w="22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MTTD &lt; 60 s (signatures) ; &lt; 5 min (anomalies)</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O3</w:t>
            </w:r>
          </w:p>
        </w:tc>
        <w:tc>
          <w:tcPr>
            <w:tcW w:type="dxa" w:w="43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Réponse automatisée aux menaces</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Confinement rapide</w:t>
            </w:r>
          </w:p>
        </w:tc>
        <w:tc>
          <w:tcPr>
            <w:tcW w:type="dxa" w:w="22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MTTR &lt; 2 min sur incident critique</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O4</w:t>
            </w:r>
          </w:p>
        </w:tc>
        <w:tc>
          <w:tcPr>
            <w:tcW w:type="dxa" w:w="43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Réduction du bruit d’alerte</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Efficacité des analystes</w:t>
            </w:r>
          </w:p>
        </w:tc>
        <w:tc>
          <w:tcPr>
            <w:tcW w:type="dxa" w:w="22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Taux de faux positifs &lt; 2 %</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O5</w:t>
            </w:r>
          </w:p>
        </w:tc>
        <w:tc>
          <w:tcPr>
            <w:tcW w:type="dxa" w:w="43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Fluidification du trafic légitime</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Qualité de service maintenue</w:t>
            </w:r>
          </w:p>
        </w:tc>
        <w:tc>
          <w:tcPr>
            <w:tcW w:type="dxa" w:w="22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Perte de paquets &lt; 0,01 % en coupure</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O6</w:t>
            </w:r>
          </w:p>
        </w:tc>
        <w:tc>
          <w:tcPr>
            <w:tcW w:type="dxa" w:w="43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Traçabilité et conformité</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Auditabilité</w:t>
            </w:r>
          </w:p>
        </w:tc>
        <w:tc>
          <w:tcPr>
            <w:tcW w:type="dxa" w:w="223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100 % des événements horodatés et conservés</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O7</w:t>
            </w:r>
          </w:p>
        </w:tc>
        <w:tc>
          <w:tcPr>
            <w:tcW w:type="dxa" w:w="43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Couverture des vecteurs d’attaque</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Robustesse défensive</w:t>
            </w:r>
          </w:p>
        </w:tc>
        <w:tc>
          <w:tcPr>
            <w:tcW w:type="dxa" w:w="223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90 % des techniques MITRE ATT&amp;CK pertinentes couvertes</w:t>
            </w:r>
          </w:p>
        </w:tc>
      </w:tr>
    </w:tbl>
    <w:p>
      <w:r>
        <w:br w:type="page"/>
      </w:r>
    </w:p>
    <w:p>
      <w:pPr>
        <w:pStyle w:val="Heading1"/>
        <w:spacing w:after="160" w:before="320"/>
      </w:pPr>
      <w:r>
        <w:rPr>
          <w:rFonts w:ascii="Calibri" w:cs="Calibri" w:eastAsia="Calibri" w:hAnsi="Calibri"/>
          <w:b/>
          <w:bCs/>
          <w:color w:val="0B2545"/>
          <w:sz w:val="30"/>
          <w:szCs w:val="30"/>
        </w:rPr>
        <w:t xml:space="preserve">3. Architecture générale de la solution</w:t>
      </w:r>
    </w:p>
    <w:p>
      <w:pPr>
        <w:pStyle w:val="Heading2"/>
        <w:spacing w:after="120" w:before="240"/>
      </w:pPr>
      <w:r>
        <w:rPr>
          <w:rFonts w:ascii="Calibri" w:cs="Calibri" w:eastAsia="Calibri" w:hAnsi="Calibri"/>
          <w:b/>
          <w:bCs/>
          <w:color w:val="13315C"/>
          <w:sz w:val="25"/>
          <w:szCs w:val="25"/>
        </w:rPr>
        <w:t xml:space="preserve">3.1 Vue d’ensemble</w:t>
      </w:r>
    </w:p>
    <w:p>
      <w:pPr>
        <w:spacing w:after="120" w:line="276"/>
      </w:pPr>
      <w:r>
        <w:rPr>
          <w:rFonts w:ascii="Calibri" w:cs="Calibri" w:eastAsia="Calibri" w:hAnsi="Calibri"/>
        </w:rPr>
        <w:t xml:space="preserve">La solution repose sur une architecture modulaire et distribuée, organisée en quatre plans fonctionnels : un plan de capture (sondes), un plan d’analyse et de détection, un plan de données et de corrélation, et un plan de pilotage (interface et réponse). Cette séparation permet de faire évoluer et dimensionner chaque plan indépendamment.</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400"/>
        <w:gridCol w:w="3200"/>
        <w:gridCol w:w="3760"/>
      </w:tblGrid>
      <w:tr>
        <w:trPr>
          <w:tblHeader/>
        </w:trPr>
        <w:tc>
          <w:tcPr>
            <w:tcW w:type="dxa" w:w="24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Plan</w:t>
            </w:r>
          </w:p>
        </w:tc>
        <w:tc>
          <w:tcPr>
            <w:tcW w:type="dxa" w:w="32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Rôle</w:t>
            </w:r>
          </w:p>
        </w:tc>
        <w:tc>
          <w:tcPr>
            <w:tcW w:type="dxa" w:w="37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Composants techniques</w:t>
            </w:r>
          </w:p>
        </w:tc>
      </w:tr>
      <w:tr>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Capture / acquisition</w:t>
            </w:r>
          </w:p>
        </w:tc>
        <w:tc>
          <w:tcPr>
            <w:tcW w:type="dxa" w:w="32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Interception et normalisation du trafic</w:t>
            </w:r>
          </w:p>
        </w:tc>
        <w:tc>
          <w:tcPr>
            <w:tcW w:type="dxa" w:w="3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Sondes réseau, TAP/SPAN, agents de flux (NetFlow/IPFIX)</w:t>
            </w:r>
          </w:p>
        </w:tc>
      </w:tr>
      <w:tr>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Analyse / détection</w:t>
            </w:r>
          </w:p>
        </w:tc>
        <w:tc>
          <w:tcPr>
            <w:tcW w:type="dxa" w:w="32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Inspection, décodage, détection multi-moteur</w:t>
            </w:r>
          </w:p>
        </w:tc>
        <w:tc>
          <w:tcPr>
            <w:tcW w:type="dxa" w:w="3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Moteur de signatures, moteur d’anomalies, moteur ML, extraction de métadonnées</w:t>
            </w:r>
          </w:p>
        </w:tc>
      </w:tr>
      <w:tr>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Données / corrélation</w:t>
            </w:r>
          </w:p>
        </w:tc>
        <w:tc>
          <w:tcPr>
            <w:tcW w:type="dxa" w:w="32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Stockage, indexation, corrélation d’événements</w:t>
            </w:r>
          </w:p>
        </w:tc>
        <w:tc>
          <w:tcPr>
            <w:tcW w:type="dxa" w:w="3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Bus de messages, base de séries temporelles, moteur de corrélation SIEM</w:t>
            </w:r>
          </w:p>
        </w:tc>
      </w:tr>
      <w:tr>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Pilotage / réponse</w:t>
            </w:r>
          </w:p>
        </w:tc>
        <w:tc>
          <w:tcPr>
            <w:tcW w:type="dxa" w:w="32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Visualisation, alerting, remédiation</w:t>
            </w:r>
          </w:p>
        </w:tc>
        <w:tc>
          <w:tcPr>
            <w:tcW w:type="dxa" w:w="3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API, tableau de bord web, module SOAR, connecteurs (pare-feu, EDR, AD)</w:t>
            </w:r>
          </w:p>
        </w:tc>
      </w:tr>
    </w:tbl>
    <w:p>
      <w:pPr>
        <w:pStyle w:val="Heading2"/>
        <w:spacing w:after="120" w:before="240"/>
      </w:pPr>
      <w:r>
        <w:rPr>
          <w:rFonts w:ascii="Calibri" w:cs="Calibri" w:eastAsia="Calibri" w:hAnsi="Calibri"/>
          <w:b/>
          <w:bCs/>
          <w:color w:val="13315C"/>
          <w:sz w:val="25"/>
          <w:szCs w:val="25"/>
        </w:rPr>
        <w:t xml:space="preserve">3.2 Modes de déploiement</w:t>
      </w:r>
    </w:p>
    <w:p>
      <w:pPr>
        <w:pStyle w:val="Heading3"/>
        <w:spacing w:after="100" w:before="180"/>
      </w:pPr>
      <w:r>
        <w:rPr>
          <w:rFonts w:ascii="Calibri" w:cs="Calibri" w:eastAsia="Calibri" w:hAnsi="Calibri"/>
          <w:b/>
          <w:bCs/>
          <w:color w:val="1B6CA8"/>
          <w:sz w:val="22"/>
          <w:szCs w:val="22"/>
        </w:rPr>
        <w:t xml:space="preserve">3.2.1 Mode passif (IDS)</w:t>
      </w:r>
    </w:p>
    <w:p>
      <w:pPr>
        <w:spacing w:after="120" w:line="276"/>
      </w:pPr>
      <w:r>
        <w:rPr>
          <w:rFonts w:ascii="Calibri" w:cs="Calibri" w:eastAsia="Calibri" w:hAnsi="Calibri"/>
        </w:rPr>
        <w:t xml:space="preserve">La sonde reçoit une copie du trafic via un port miroir (SPAN) ou un TAP réseau. Ce mode est non intrusif : il n’introduit aucune latence ni point de défaillance sur le chemin de données. Il sert à la détection, à l’observabilité et à l’investigation.</w:t>
      </w:r>
    </w:p>
    <w:p>
      <w:pPr>
        <w:pStyle w:val="Heading3"/>
        <w:spacing w:after="100" w:before="180"/>
      </w:pPr>
      <w:r>
        <w:rPr>
          <w:rFonts w:ascii="Calibri" w:cs="Calibri" w:eastAsia="Calibri" w:hAnsi="Calibri"/>
          <w:b/>
          <w:bCs/>
          <w:color w:val="1B6CA8"/>
          <w:sz w:val="22"/>
          <w:szCs w:val="22"/>
        </w:rPr>
        <w:t xml:space="preserve">3.2.2 Mode en coupure (IPS inline)</w:t>
      </w:r>
    </w:p>
    <w:p>
      <w:pPr>
        <w:spacing w:after="120" w:line="276"/>
      </w:pPr>
      <w:r>
        <w:rPr>
          <w:rFonts w:ascii="Calibri" w:cs="Calibri" w:eastAsia="Calibri" w:hAnsi="Calibri"/>
        </w:rPr>
        <w:t xml:space="preserve">La sonde est placée sur le chemin des paquets et peut abandonner (drop), réinitialiser (reset) ou réécrire un flux en temps réel. Ce mode autorise le blocage actif mais impose des exigences fortes de disponibilité (bypass matériel, mode fail-open/fail-close configurable) et de performance (latence maîtrisée).</w:t>
      </w:r>
    </w:p>
    <w:tbl>
      <w:tblPr>
        <w:tblW w:type="dxa" w:w="9360"/>
        <w:tblBorders>
          <w:top w:val="single" w:color="EEF3F8" w:sz="2"/>
          <w:left w:val="single" w:color="2EC4B6"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Exigence d’architecture — EA-01</w:t>
            </w:r>
          </w:p>
          <w:p>
            <w:pPr>
              <w:spacing w:after="0" w:line="264"/>
            </w:pPr>
            <w:r>
              <w:rPr>
                <w:rFonts w:ascii="Calibri" w:cs="Calibri" w:eastAsia="Calibri" w:hAnsi="Calibri"/>
                <w:color w:val="3A3F46"/>
                <w:sz w:val="20"/>
                <w:szCs w:val="20"/>
              </w:rPr>
              <w:t xml:space="preserve">La solution doit permettre de mixer les deux modes selon les segments : passif sur les cœurs de réseau à fort débit, en coupure sur les points d’entrée sensibles (DMZ, accès Internet, interconnexions prestataires).</w:t>
            </w:r>
          </w:p>
        </w:tc>
      </w:tr>
    </w:tbl>
    <w:p>
      <w:pPr>
        <w:pStyle w:val="Heading2"/>
        <w:spacing w:after="120" w:before="240"/>
      </w:pPr>
      <w:r>
        <w:rPr>
          <w:rFonts w:ascii="Calibri" w:cs="Calibri" w:eastAsia="Calibri" w:hAnsi="Calibri"/>
          <w:b/>
          <w:bCs/>
          <w:color w:val="13315C"/>
          <w:sz w:val="25"/>
          <w:szCs w:val="25"/>
        </w:rPr>
        <w:t xml:space="preserve">3.3 Principes directeurs d’architecture</w:t>
      </w:r>
    </w:p>
    <w:p>
      <w:pPr>
        <w:pStyle w:val="ListParagraph"/>
        <w:numPr>
          <w:ilvl w:val="0"/>
          <w:numId w:val="1"/>
        </w:numPr>
        <w:spacing w:after="60" w:line="264"/>
      </w:pPr>
      <w:r>
        <w:rPr>
          <w:rFonts w:ascii="Calibri" w:cs="Calibri" w:eastAsia="Calibri" w:hAnsi="Calibri"/>
          <w:sz w:val="21"/>
          <w:szCs w:val="21"/>
        </w:rPr>
        <w:t xml:space="preserve">Scalabilité horizontale : ajout de sondes et de nœuds d’analyse sans interruption de service.</w:t>
      </w:r>
    </w:p>
    <w:p>
      <w:pPr>
        <w:pStyle w:val="ListParagraph"/>
        <w:numPr>
          <w:ilvl w:val="0"/>
          <w:numId w:val="1"/>
        </w:numPr>
        <w:spacing w:after="60" w:line="264"/>
      </w:pPr>
      <w:r>
        <w:rPr>
          <w:rFonts w:ascii="Calibri" w:cs="Calibri" w:eastAsia="Calibri" w:hAnsi="Calibri"/>
          <w:sz w:val="21"/>
          <w:szCs w:val="21"/>
        </w:rPr>
        <w:t xml:space="preserve">Découplage par bus de messages : résilience aux pics de charge et absence de perte d’événements.</w:t>
      </w:r>
    </w:p>
    <w:p>
      <w:pPr>
        <w:pStyle w:val="ListParagraph"/>
        <w:numPr>
          <w:ilvl w:val="0"/>
          <w:numId w:val="1"/>
        </w:numPr>
        <w:spacing w:after="60" w:line="264"/>
      </w:pPr>
      <w:r>
        <w:rPr>
          <w:rFonts w:ascii="Calibri" w:cs="Calibri" w:eastAsia="Calibri" w:hAnsi="Calibri"/>
          <w:sz w:val="21"/>
          <w:szCs w:val="21"/>
        </w:rPr>
        <w:t xml:space="preserve">Sécurité by design : chiffrement des communications inter-composants, cloisonnement, moindre privilège.</w:t>
      </w:r>
    </w:p>
    <w:p>
      <w:pPr>
        <w:pStyle w:val="ListParagraph"/>
        <w:numPr>
          <w:ilvl w:val="0"/>
          <w:numId w:val="1"/>
        </w:numPr>
        <w:spacing w:after="60" w:line="264"/>
      </w:pPr>
      <w:r>
        <w:rPr>
          <w:rFonts w:ascii="Calibri" w:cs="Calibri" w:eastAsia="Calibri" w:hAnsi="Calibri"/>
          <w:sz w:val="21"/>
          <w:szCs w:val="21"/>
        </w:rPr>
        <w:t xml:space="preserve">Interopérabilité : API ouvertes, formats standards (STIX/TAXII, Syslog, JSON, IPFIX).</w:t>
      </w:r>
    </w:p>
    <w:p>
      <w:pPr>
        <w:pStyle w:val="ListParagraph"/>
        <w:numPr>
          <w:ilvl w:val="0"/>
          <w:numId w:val="1"/>
        </w:numPr>
        <w:spacing w:after="60" w:line="264"/>
      </w:pPr>
      <w:r>
        <w:rPr>
          <w:rFonts w:ascii="Calibri" w:cs="Calibri" w:eastAsia="Calibri" w:hAnsi="Calibri"/>
          <w:sz w:val="21"/>
          <w:szCs w:val="21"/>
        </w:rPr>
        <w:t xml:space="preserve">Souveraineté et confidentialité : possibilité d’un déploiement entièrement on-premise, sans dépendance à un cloud externe.</w:t>
      </w:r>
    </w:p>
    <w:p>
      <w:r>
        <w:br w:type="page"/>
      </w:r>
    </w:p>
    <w:p>
      <w:pPr>
        <w:pStyle w:val="Heading1"/>
        <w:spacing w:after="160" w:before="320"/>
      </w:pPr>
      <w:r>
        <w:rPr>
          <w:rFonts w:ascii="Calibri" w:cs="Calibri" w:eastAsia="Calibri" w:hAnsi="Calibri"/>
          <w:b/>
          <w:bCs/>
          <w:color w:val="0B2545"/>
          <w:sz w:val="30"/>
          <w:szCs w:val="30"/>
        </w:rPr>
        <w:t xml:space="preserve">4. Exigences fonctionnelles</w:t>
      </w:r>
    </w:p>
    <w:p>
      <w:pPr>
        <w:spacing w:after="120" w:line="276"/>
      </w:pPr>
      <w:r>
        <w:rPr>
          <w:rFonts w:ascii="Calibri" w:cs="Calibri" w:eastAsia="Calibri" w:hAnsi="Calibri"/>
        </w:rPr>
        <w:t xml:space="preserve">Les exigences sont regroupées par module fonctionnel et identifiées par un code (EF-xx). Le niveau de priorité suit la méthode MoSCoW : M = indispensable (Must), S = souhaité (Should), C = confort (Could).</w:t>
      </w:r>
    </w:p>
    <w:p>
      <w:pPr>
        <w:pStyle w:val="Heading2"/>
        <w:spacing w:after="120" w:before="240"/>
      </w:pPr>
      <w:r>
        <w:rPr>
          <w:rFonts w:ascii="Calibri" w:cs="Calibri" w:eastAsia="Calibri" w:hAnsi="Calibri"/>
          <w:b/>
          <w:bCs/>
          <w:color w:val="13315C"/>
          <w:sz w:val="25"/>
          <w:szCs w:val="25"/>
        </w:rPr>
        <w:t xml:space="preserve">4.1 Module 1 — Capture et acquisition du trafic</w:t>
      </w:r>
    </w:p>
    <w:p>
      <w:pPr>
        <w:spacing w:after="120" w:line="276"/>
      </w:pPr>
      <w:r>
        <w:rPr>
          <w:rFonts w:ascii="Calibri" w:cs="Calibri" w:eastAsia="Calibri" w:hAnsi="Calibri"/>
        </w:rPr>
        <w:t xml:space="preserve">Ce module constitue la fondation de la solution : il garantit qu’aucun flux pertinent n’échappe à l’analyse.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Capturer le trafic en mode promiscuité sur interfaces physiques et virtuelles (VLAN, VXLAN, trunk).</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Supporter la capture haute performance à 10/40/100 Gbps sans perte via DPDK / PF_RING.</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Perf.</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Ingérer les métadonnées de flux exportées (NetFlow v5/v9, IPFIX, sFlow).</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Reconstituer et suivre les sessions TCP/UDP (suivi d’état, réassemblage des flux).</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Décapsuler les tunnels (GRE, IPsec transport visible, VXLAN, MPLS).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Horodater chaque paquet avec précision (synchronisation NTP/PTP).</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EF-107</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Filtrer la capture (BPF) pour cibler des segments ou exclure des flux non pertinents.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EF-108</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Assurer la capture continue avec buffering en cas de pic de charge (aucune perte).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Perf.</w:t>
            </w:r>
          </w:p>
        </w:tc>
      </w:tr>
    </w:tbl>
    <w:p>
      <w:pPr>
        <w:pStyle w:val="Heading2"/>
        <w:spacing w:after="120" w:before="240"/>
      </w:pPr>
      <w:r>
        <w:rPr>
          <w:rFonts w:ascii="Calibri" w:cs="Calibri" w:eastAsia="Calibri" w:hAnsi="Calibri"/>
          <w:b/>
          <w:bCs/>
          <w:color w:val="13315C"/>
          <w:sz w:val="25"/>
          <w:szCs w:val="25"/>
        </w:rPr>
        <w:t xml:space="preserve">4.2 Module 2 — Inspection approfondie et décodage protocolaire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Effectuer l’inspection approfondie des paquets (DPI) jusqu’à la couche 7.</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Décoder les principaux protocoles : HTTP(S), DNS, SMB/CIFS, RDP, SSH, TLS, FTP, SMTP, LDAP, Kerberos, ICMP.</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Identifier les applications indépendamment du port utilisé (détection applicative / fingerprinting JA3/JA4).</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Extraire les métadonnées des flux chiffrés sans déchiffrement (SNI, certificats, tailles, timing).</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l’inspection TLS déchiffrée sur les segments autorisés (bris de session maîtrisé, gestion des exclusions légales).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Extraire les fichiers transférés pour analyse (hash, envoi vers sandbox/antivirus).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EF-207</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Reconstruire les objets applicatifs (requêtes/réponses HTTP, requêtes DNS) pour investigation.</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tbl>
      <w:tblPr>
        <w:tblW w:type="dxa" w:w="9360"/>
        <w:tblBorders>
          <w:top w:val="single" w:color="EEF3F8" w:sz="2"/>
          <w:left w:val="single" w:color="B23A48"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Point de vigilance juridique — Inspection TLS</w:t>
            </w:r>
          </w:p>
          <w:p>
            <w:pPr>
              <w:spacing w:after="0" w:line="264"/>
            </w:pPr>
            <w:r>
              <w:rPr>
                <w:rFonts w:ascii="Calibri" w:cs="Calibri" w:eastAsia="Calibri" w:hAnsi="Calibri"/>
                <w:color w:val="3A3F46"/>
                <w:sz w:val="20"/>
                <w:szCs w:val="20"/>
              </w:rPr>
              <w:t xml:space="preserve">L’interception déchiffrée du trafic doit respecter le cadre légal (RGPD, droit du travail, information des utilisateurs). Des règles d’exclusion (banque, santé, messagerie personnelle) doivent être configurables et documentées. Voir section 8 — Conformité.</w:t>
            </w:r>
          </w:p>
        </w:tc>
      </w:tr>
    </w:tbl>
    <w:p>
      <w:pPr>
        <w:pStyle w:val="Heading2"/>
        <w:spacing w:after="120" w:before="240"/>
      </w:pPr>
      <w:r>
        <w:rPr>
          <w:rFonts w:ascii="Calibri" w:cs="Calibri" w:eastAsia="Calibri" w:hAnsi="Calibri"/>
          <w:b/>
          <w:bCs/>
          <w:color w:val="13315C"/>
          <w:sz w:val="25"/>
          <w:szCs w:val="25"/>
        </w:rPr>
        <w:t xml:space="preserve">4.3 Module 3 — Détection des menaces</w:t>
      </w:r>
    </w:p>
    <w:p>
      <w:pPr>
        <w:spacing w:after="120" w:line="276"/>
      </w:pPr>
      <w:r>
        <w:rPr>
          <w:rFonts w:ascii="Calibri" w:cs="Calibri" w:eastAsia="Calibri" w:hAnsi="Calibri"/>
        </w:rPr>
        <w:t xml:space="preserve">La détection combine trois moteurs complémentaires afin de couvrir aussi bien les menaces connues que les comportements inconnus.</w:t>
      </w:r>
    </w:p>
    <w:p>
      <w:pPr>
        <w:pStyle w:val="Heading3"/>
        <w:spacing w:after="100" w:before="180"/>
      </w:pPr>
      <w:r>
        <w:rPr>
          <w:rFonts w:ascii="Calibri" w:cs="Calibri" w:eastAsia="Calibri" w:hAnsi="Calibri"/>
          <w:b/>
          <w:bCs/>
          <w:color w:val="1B6CA8"/>
          <w:sz w:val="22"/>
          <w:szCs w:val="22"/>
        </w:rPr>
        <w:t xml:space="preserve">4.3.1 Détection par signatures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Appliquer des règles de signatures ouvertes et compatibles (jeux de règles de type Suricata/Snort).</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Mettre à jour les jeux de règles automatiquement (flux d’abonnement + règles internes).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la création, l’édition et le test de règles personnalisées.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3"/>
        <w:spacing w:after="100" w:before="180"/>
      </w:pPr>
      <w:r>
        <w:rPr>
          <w:rFonts w:ascii="Calibri" w:cs="Calibri" w:eastAsia="Calibri" w:hAnsi="Calibri"/>
          <w:b/>
          <w:bCs/>
          <w:color w:val="1B6CA8"/>
          <w:sz w:val="22"/>
          <w:szCs w:val="22"/>
        </w:rPr>
        <w:t xml:space="preserve">4.3.2 Détection comportementale et par anomalies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EF-311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Établir une ligne de base (baseline) du comportement normal par hôte, service et segment.</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EF-312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les écarts significatifs : volumétrie anormale, ports inhabituels, balayages, pics de connexions.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EF-313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les canaux de commande et contrôle (C2), le beaconing, le tunneling DNS/ICMP.</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EF-314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les mouvements latéraux (accès inter-hôtes inhabituels, propagation SMB/RDP).</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EF-315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les tentatives d’exfiltration (volumes sortants atypiques, destinations inconnues).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3"/>
        <w:spacing w:after="100" w:before="180"/>
      </w:pPr>
      <w:r>
        <w:rPr>
          <w:rFonts w:ascii="Calibri" w:cs="Calibri" w:eastAsia="Calibri" w:hAnsi="Calibri"/>
          <w:b/>
          <w:bCs/>
          <w:color w:val="1B6CA8"/>
          <w:sz w:val="22"/>
          <w:szCs w:val="22"/>
        </w:rPr>
        <w:t xml:space="preserve">4.3.3 Détection par apprentissage automatique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EF-321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Intégrer des modèles de ML pour la détection d’anomalies non signaturées.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EF-322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Scorer chaque événement selon un niveau de risque (0-100) et le confronter au contexte.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EF-323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le réentraînement et l’ajustement des modèles sans interruption de service.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EF-324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Fournir une explicabilité minimale des alertes ML (facteurs contributifs).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2"/>
        <w:spacing w:after="120" w:before="240"/>
      </w:pPr>
      <w:r>
        <w:rPr>
          <w:rFonts w:ascii="Calibri" w:cs="Calibri" w:eastAsia="Calibri" w:hAnsi="Calibri"/>
          <w:b/>
          <w:bCs/>
          <w:color w:val="13315C"/>
          <w:sz w:val="25"/>
          <w:szCs w:val="25"/>
        </w:rPr>
        <w:t xml:space="preserve">4.4 Module 4 — Supervision et observabilité</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Fournir une cartographie dynamique du réseau et des flux (qui parle à qui, sur quoi).</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Afficher en temps réel : débit, latence, top talkers, top protocoles, sessions actives.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et signaler les nouveaux équipements/hôtes apparaissant sur le réseau.</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Suivre la santé du réseau : pertes, retransmissions, saturation de liens, erreurs.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le drill-down d’une vue macro jusqu’au paquet individuel.</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EF-406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Historiser les métriques pour analyse de tendance et capacity planning.</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2"/>
        <w:spacing w:after="120" w:before="240"/>
      </w:pPr>
      <w:r>
        <w:rPr>
          <w:rFonts w:ascii="Calibri" w:cs="Calibri" w:eastAsia="Calibri" w:hAnsi="Calibri"/>
          <w:b/>
          <w:bCs/>
          <w:color w:val="13315C"/>
          <w:sz w:val="25"/>
          <w:szCs w:val="25"/>
        </w:rPr>
        <w:t xml:space="preserve">4.5 Module 5 — Réponse, remédiation et interaction avec le réseau</w:t>
      </w:r>
    </w:p>
    <w:p>
      <w:pPr>
        <w:spacing w:after="120" w:line="276"/>
      </w:pPr>
      <w:r>
        <w:rPr>
          <w:rFonts w:ascii="Calibri" w:cs="Calibri" w:eastAsia="Calibri" w:hAnsi="Calibri"/>
        </w:rPr>
        <w:t xml:space="preserve">Ce module matérialise la capacité à « prendre les mesures nécessaires à l’intégrité du réseau » : agir, et non seulement observer.</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Bloquer un flux ou un hôte malveillant en temps réel (drop/reset en mode inline).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Mettre en quarantaine / isoler un hôte (via changement de VLAN, ACL, ou API de commutateur).</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Pousser dynamiquement des règles vers les pare-feu et équipements réseau (API/connecteurs).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Déclencher des scénarios de réponse automatisés (playbooks SOAR) conditionnés au score de risque.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Exiger une validation humaine (mode semi-automatique) pour les actions à fort impact.</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Journaliser toute action de réponse (qui/quoi/quand/pourquoi) de façon inaltérable.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EF-507</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l’annulation (rollback) d’une action de réponse.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EF-508</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Intégrer un dispositif anti-emballement (rate limiting des blocages, liste blanche des actifs critiques).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tbl>
      <w:tblPr>
        <w:tblW w:type="dxa" w:w="9360"/>
        <w:tblBorders>
          <w:top w:val="single" w:color="EEF3F8" w:sz="2"/>
          <w:left w:val="single" w:color="B23A48"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Garde-fou opérationnel — EF-508</w:t>
            </w:r>
          </w:p>
          <w:p>
            <w:pPr>
              <w:spacing w:after="0" w:line="264"/>
            </w:pPr>
            <w:r>
              <w:rPr>
                <w:rFonts w:ascii="Calibri" w:cs="Calibri" w:eastAsia="Calibri" w:hAnsi="Calibri"/>
                <w:color w:val="3A3F46"/>
                <w:sz w:val="20"/>
                <w:szCs w:val="20"/>
              </w:rPr>
              <w:t xml:space="preserve">Une réponse automatique mal calibrée peut provoquer un déni de service auto-infligé. La liste blanche des actifs critiques (contrôleurs de domaine, passerelles, serveurs métier) et les seuils de déclenchement sont obligatoires et versionnés.</w:t>
            </w:r>
          </w:p>
        </w:tc>
      </w:tr>
    </w:tbl>
    <w:p>
      <w:pPr>
        <w:pStyle w:val="Heading2"/>
        <w:spacing w:after="120" w:before="240"/>
      </w:pPr>
      <w:r>
        <w:rPr>
          <w:rFonts w:ascii="Calibri" w:cs="Calibri" w:eastAsia="Calibri" w:hAnsi="Calibri"/>
          <w:b/>
          <w:bCs/>
          <w:color w:val="13315C"/>
          <w:sz w:val="25"/>
          <w:szCs w:val="25"/>
        </w:rPr>
        <w:t xml:space="preserve">4.6 Module 6 — Fluidification et gestion de la qualité de trafic</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EF-601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Classifier les flux par criticité métier et appliquer une politique de QoS (priorisation).</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EF-602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Détecter et atténuer la congestion (traffic shaping, limitation de débit ciblée).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EF-603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Contribuer à l’atténuation DDoS (rate limiting, filtrage géographique/réputationnel, black-holing).</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EF-604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Prioriser dynamiquement les flux légitimes lors d’une saturation ou d’une attaque volumétrique.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EF-605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Recommander des optimisations de trafic à partir de l’analyse historique.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2"/>
        <w:spacing w:after="120" w:before="240"/>
      </w:pPr>
      <w:r>
        <w:rPr>
          <w:rFonts w:ascii="Calibri" w:cs="Calibri" w:eastAsia="Calibri" w:hAnsi="Calibri"/>
          <w:b/>
          <w:bCs/>
          <w:color w:val="13315C"/>
          <w:sz w:val="25"/>
          <w:szCs w:val="25"/>
        </w:rPr>
        <w:t xml:space="preserve">4.7 Module 7 — Alerting, reporting et investigation (forensics)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Générer des alertes qualifiées, dédupliquées et corrélées (regroupement en incidents).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Prioriser les alertes selon le risque, la criticité de l’actif et le contexte.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Notifier via plusieurs canaux (interface, e-mail, Syslog, webhook, messagerie d’équipe).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Conserver la capture complète (full packet capture) sur fenêtre glissante pour investigation.</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Reconstituer la chronologie d’un incident (timeline) et la chaîne d’attaque (kill chain).</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Exporter des rapports (PDF/CSV) : opérationnels, exécutifs et de conformité.</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EF-707</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Fournir des indicateurs (KPI) : MTTD, MTTR, volume d’alertes, taux de faux positifs.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2"/>
        <w:spacing w:after="120" w:before="240"/>
      </w:pPr>
      <w:r>
        <w:rPr>
          <w:rFonts w:ascii="Calibri" w:cs="Calibri" w:eastAsia="Calibri" w:hAnsi="Calibri"/>
          <w:b/>
          <w:bCs/>
          <w:color w:val="13315C"/>
          <w:sz w:val="25"/>
          <w:szCs w:val="25"/>
        </w:rPr>
        <w:t xml:space="preserve">4.8 Module 8 — Renseignement sur les menaces (Threat Intelligence)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EF-801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Ingérer des flux de renseignement au format STIX/TAXII et listes d’IoC.</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EF-802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Enrichir automatiquement les alertes (réputation IP/domaine, géolocalisation, historique).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EF-803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Cartographier les détections sur le référentiel MITRE ATT&amp;CK.</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EF-804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l’ajout d’IoC internes et le partage vers d’autres plateformes.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pPr>
        <w:pStyle w:val="Heading2"/>
        <w:spacing w:after="120" w:before="240"/>
      </w:pPr>
      <w:r>
        <w:rPr>
          <w:rFonts w:ascii="Calibri" w:cs="Calibri" w:eastAsia="Calibri" w:hAnsi="Calibri"/>
          <w:b/>
          <w:bCs/>
          <w:color w:val="13315C"/>
          <w:sz w:val="25"/>
          <w:szCs w:val="25"/>
        </w:rPr>
        <w:t xml:space="preserve">4.9 Module 9 — Administration, contrôle d’accès et audit</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00"/>
        <w:gridCol w:w="6560"/>
        <w:gridCol w:w="900"/>
        <w:gridCol w:w="900"/>
      </w:tblGrid>
      <w:tr>
        <w:trPr>
          <w:tblHeader/>
        </w:trPr>
        <w:tc>
          <w:tcPr>
            <w:tcW w:type="dxa" w:w="10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Type</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EF-901</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Gérer les comptes et les rôles (RBAC) avec principe du moindre privilège.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EF-902</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S’intégrer à l’annuaire de l’entreprise (LDAP/Active Directory, SSO/SAML/OIDC).</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EF-903</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Imposer l’authentification multifacteur (MFA) pour les accès sensibles.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Sécu.</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EF-904</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Journaliser toutes les actions d’administration (piste d’audit inaltérable).</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Sécu.</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EF-905</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Gérer le cycle de vie des sondes (enregistrement, mise à jour, supervision, révocation).</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EF-906</w:t>
            </w:r>
          </w:p>
        </w:tc>
        <w:tc>
          <w:tcPr>
            <w:tcW w:type="dxa" w:w="65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Exposer une API REST/GraphQL documentée pour l’ensemble des fonctions.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r>
        <w:tc>
          <w:tcPr>
            <w:tcW w:type="dxa" w:w="10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EF-907</w:t>
            </w:r>
          </w:p>
        </w:tc>
        <w:tc>
          <w:tcPr>
            <w:tcW w:type="dxa" w:w="65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Permettre la configuration versionnée et le retour arrière des politiques.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Fonct.</w:t>
            </w:r>
          </w:p>
        </w:tc>
      </w:tr>
    </w:tbl>
    <w:p>
      <w:r>
        <w:br w:type="page"/>
      </w:r>
    </w:p>
    <w:p>
      <w:pPr>
        <w:pStyle w:val="Heading1"/>
        <w:spacing w:after="160" w:before="320"/>
      </w:pPr>
      <w:r>
        <w:rPr>
          <w:rFonts w:ascii="Calibri" w:cs="Calibri" w:eastAsia="Calibri" w:hAnsi="Calibri"/>
          <w:b/>
          <w:bCs/>
          <w:color w:val="0B2545"/>
          <w:sz w:val="30"/>
          <w:szCs w:val="30"/>
        </w:rPr>
        <w:t xml:space="preserve">5. Couverture des vecteurs d’attaque et d’intrusion</w:t>
      </w:r>
    </w:p>
    <w:p>
      <w:pPr>
        <w:spacing w:after="120" w:line="276"/>
      </w:pPr>
      <w:r>
        <w:rPr>
          <w:rFonts w:ascii="Calibri" w:cs="Calibri" w:eastAsia="Calibri" w:hAnsi="Calibri"/>
        </w:rPr>
        <w:t xml:space="preserve">La solution doit détecter et, selon le mode de déploiement, contrer l’ensemble des grandes familles de techniques offensives. Le tableau ci-dessous met en correspondance chaque famille avec le mécanisme de détection attendu et la réponse associée. La couverture est alignée sur le référentiel MITRE ATT&amp;CK Enterprise.</w:t>
      </w:r>
    </w:p>
    <w:p>
      <w:pPr>
        <w:pStyle w:val="Heading2"/>
        <w:spacing w:after="120" w:before="240"/>
      </w:pPr>
      <w:r>
        <w:rPr>
          <w:rFonts w:ascii="Calibri" w:cs="Calibri" w:eastAsia="Calibri" w:hAnsi="Calibri"/>
          <w:b/>
          <w:bCs/>
          <w:color w:val="13315C"/>
          <w:sz w:val="25"/>
          <w:szCs w:val="25"/>
        </w:rPr>
        <w:t xml:space="preserve">5.1 Cartographie menaces / détection / réponse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050"/>
        <w:gridCol w:w="3050"/>
        <w:gridCol w:w="2100"/>
        <w:gridCol w:w="2160"/>
      </w:tblGrid>
      <w:tr>
        <w:trPr>
          <w:tblHeader/>
        </w:trPr>
        <w:tc>
          <w:tcPr>
            <w:tcW w:type="dxa" w:w="205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Famille d’attaque</w:t>
            </w:r>
          </w:p>
        </w:tc>
        <w:tc>
          <w:tcPr>
            <w:tcW w:type="dxa" w:w="305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Exemples de techniques</w:t>
            </w:r>
          </w:p>
        </w:tc>
        <w:tc>
          <w:tcPr>
            <w:tcW w:type="dxa" w:w="21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Mécanisme de détection</w:t>
            </w:r>
          </w:p>
        </w:tc>
        <w:tc>
          <w:tcPr>
            <w:tcW w:type="dxa" w:w="21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Réponse attendue</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Reconnaissance</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Balayage de ports, découverte réseau, énumération de services</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Anomalie (fréquence/dispersion des connexions), signatures</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Alerte, rate limiting, blocage de la source</w:t>
            </w:r>
          </w:p>
        </w:tc>
      </w:tr>
      <w:tr>
        <w:tc>
          <w:tcPr>
            <w:tcW w:type="dxa" w:w="2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Déni de service (DoS/DDoS)</w:t>
            </w:r>
          </w:p>
        </w:tc>
        <w:tc>
          <w:tcPr>
            <w:tcW w:type="dxa" w:w="3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Inondation SYN/UDP/ICMP, amplification, attaques applicatives L7</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Volumétrie, seuils adaptatifs, réputation</w:t>
            </w:r>
          </w:p>
        </w:tc>
        <w:tc>
          <w:tcPr>
            <w:tcW w:type="dxa" w:w="2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Rate limiting, filtrage, black-holing, priorisation légitime</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Interception (MITM)</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ARP spoofing, DNS spoofing, rogue DHCP, détournement BGP</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Anomalies L2/L3, incohérences ARP/DNS</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Alerte, isolation de l’hôte, correction ACL</w:t>
            </w:r>
          </w:p>
        </w:tc>
      </w:tr>
      <w:tr>
        <w:tc>
          <w:tcPr>
            <w:tcW w:type="dxa" w:w="2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Accès par force brute</w:t>
            </w:r>
          </w:p>
        </w:tc>
        <w:tc>
          <w:tcPr>
            <w:tcW w:type="dxa" w:w="3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Brute force SSH/RDP/SMB, credential stuffing</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Comptage d’échecs, motifs temporels, anomalie</w:t>
            </w:r>
          </w:p>
        </w:tc>
        <w:tc>
          <w:tcPr>
            <w:tcW w:type="dxa" w:w="2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Blocage temporaire, quarantaine, MFA</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Exploitation de vulnérabilités</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Exploits réseau, RCE, injection, dépassement de tampon</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Signatures, décodage protocolaire, anomalies</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Drop en coupure, alerte prioritaire</w:t>
            </w:r>
          </w:p>
        </w:tc>
      </w:tr>
      <w:tr>
        <w:tc>
          <w:tcPr>
            <w:tcW w:type="dxa" w:w="2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Logiciels malveillants</w:t>
            </w:r>
          </w:p>
        </w:tc>
        <w:tc>
          <w:tcPr>
            <w:tcW w:type="dxa" w:w="3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Diffusion, chargement, ransomware, ver</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Signatures, extraction de fichiers, hash/sandbox</w:t>
            </w:r>
          </w:p>
        </w:tc>
        <w:tc>
          <w:tcPr>
            <w:tcW w:type="dxa" w:w="2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Blocage du flux, isolation, notification</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Commande &amp; contrôle (C2)</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Beaconing, tunneling DNS/ICMP/HTTPS, domaines DGA</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Comportement périodique, entropie, threat intel</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Blocage domaine/IP, isolation de l’hôte</w:t>
            </w:r>
          </w:p>
        </w:tc>
      </w:tr>
      <w:tr>
        <w:tc>
          <w:tcPr>
            <w:tcW w:type="dxa" w:w="2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Mouvement latéral</w:t>
            </w:r>
          </w:p>
        </w:tc>
        <w:tc>
          <w:tcPr>
            <w:tcW w:type="dxa" w:w="3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Pass-the-hash, propagation SMB/RDP, exploitation interne</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Corrélation inter-hôtes, anomalies est/ouest</w:t>
            </w:r>
          </w:p>
        </w:tc>
        <w:tc>
          <w:tcPr>
            <w:tcW w:type="dxa" w:w="2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Micro-segmentation, quarantaine</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Exfiltration de données</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Transferts massifs, canaux cachés, upload cloud non autorisé</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Volumétrie sortante, destinations inconnues</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Blocage, alerte, capture forensique</w:t>
            </w:r>
          </w:p>
        </w:tc>
      </w:tr>
      <w:tr>
        <w:tc>
          <w:tcPr>
            <w:tcW w:type="dxa" w:w="2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Menaces sur flux chiffrés</w:t>
            </w:r>
          </w:p>
        </w:tc>
        <w:tc>
          <w:tcPr>
            <w:tcW w:type="dxa" w:w="3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C2 en TLS, malware chiffré, DoH abusif</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Fingerprint JA3/JA4, métadonnées, SNI, timing</w:t>
            </w:r>
          </w:p>
        </w:tc>
        <w:tc>
          <w:tcPr>
            <w:tcW w:type="dxa" w:w="2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Blocage réputationnel, inspection ciblée</w:t>
            </w:r>
          </w:p>
        </w:tc>
      </w:tr>
      <w:tr>
        <w:tc>
          <w:tcPr>
            <w:tcW w:type="dxa" w:w="2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Menace interne / abus</w:t>
            </w:r>
          </w:p>
        </w:tc>
        <w:tc>
          <w:tcPr>
            <w:tcW w:type="dxa" w:w="3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Accès inhabituels, escalade, usage hors politique</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Baseline utilisateur, écarts comportementaux</w:t>
            </w:r>
          </w:p>
        </w:tc>
        <w:tc>
          <w:tcPr>
            <w:tcW w:type="dxa" w:w="2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Alerte, restriction d’accès, investigation</w:t>
            </w:r>
          </w:p>
        </w:tc>
      </w:tr>
    </w:tbl>
    <w:p>
      <w:pPr>
        <w:pStyle w:val="Heading2"/>
        <w:spacing w:after="120" w:before="240"/>
      </w:pPr>
      <w:r>
        <w:rPr>
          <w:rFonts w:ascii="Calibri" w:cs="Calibri" w:eastAsia="Calibri" w:hAnsi="Calibri"/>
          <w:b/>
          <w:bCs/>
          <w:color w:val="13315C"/>
          <w:sz w:val="25"/>
          <w:szCs w:val="25"/>
        </w:rPr>
        <w:t xml:space="preserve">5.2 Exigence de couverture</w:t>
      </w:r>
    </w:p>
    <w:tbl>
      <w:tblPr>
        <w:tblW w:type="dxa" w:w="9360"/>
        <w:tblBorders>
          <w:top w:val="single" w:color="EEF3F8" w:sz="2"/>
          <w:left w:val="single" w:color="2EC4B6"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Exigence — EF-CV-01</w:t>
            </w:r>
          </w:p>
          <w:p>
            <w:pPr>
              <w:spacing w:after="60" w:line="264"/>
            </w:pPr>
            <w:r>
              <w:rPr>
                <w:rFonts w:ascii="Calibri" w:cs="Calibri" w:eastAsia="Calibri" w:hAnsi="Calibri"/>
                <w:color w:val="3A3F46"/>
                <w:sz w:val="20"/>
                <w:szCs w:val="20"/>
              </w:rPr>
              <w:t xml:space="preserve">La solution doit couvrir au minimum 90 % des techniques MITRE ATT&amp;CK Enterprise pertinentes pour un périmètre réseau, et fournir une matrice de couverture actualisée à chaque mise à jour majeure des règles et modèles.</w:t>
            </w:r>
          </w:p>
          <w:p>
            <w:pPr>
              <w:spacing w:after="0" w:line="264"/>
            </w:pPr>
            <w:r>
              <w:rPr>
                <w:rFonts w:ascii="Calibri" w:cs="Calibri" w:eastAsia="Calibri" w:hAnsi="Calibri"/>
                <w:color w:val="3A3F46"/>
                <w:sz w:val="20"/>
                <w:szCs w:val="20"/>
              </w:rPr>
              <w:t xml:space="preserve">Chaque nouvelle famille de menace identifiée doit pouvoir être adressée par ajout de règle, de modèle ou d’IoC, sans redéploiement complet.</w:t>
            </w:r>
          </w:p>
        </w:tc>
      </w:tr>
    </w:tbl>
    <w:p>
      <w:r>
        <w:br w:type="page"/>
      </w:r>
    </w:p>
    <w:p>
      <w:pPr>
        <w:pStyle w:val="Heading1"/>
        <w:spacing w:after="160" w:before="320"/>
      </w:pPr>
      <w:r>
        <w:rPr>
          <w:rFonts w:ascii="Calibri" w:cs="Calibri" w:eastAsia="Calibri" w:hAnsi="Calibri"/>
          <w:b/>
          <w:bCs/>
          <w:color w:val="0B2545"/>
          <w:sz w:val="30"/>
          <w:szCs w:val="30"/>
        </w:rPr>
        <w:t xml:space="preserve">6. Exigences non fonctionnelles</w:t>
      </w:r>
    </w:p>
    <w:p>
      <w:pPr>
        <w:pStyle w:val="Heading2"/>
        <w:spacing w:after="120" w:before="240"/>
      </w:pPr>
      <w:r>
        <w:rPr>
          <w:rFonts w:ascii="Calibri" w:cs="Calibri" w:eastAsia="Calibri" w:hAnsi="Calibri"/>
          <w:b/>
          <w:bCs/>
          <w:color w:val="13315C"/>
          <w:sz w:val="25"/>
          <w:szCs w:val="25"/>
        </w:rPr>
        <w:t xml:space="preserve">6.1 Performance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50"/>
        <w:gridCol w:w="6510"/>
        <w:gridCol w:w="900"/>
        <w:gridCol w:w="900"/>
      </w:tblGrid>
      <w:tr>
        <w:trPr>
          <w:tblHeader/>
        </w:trPr>
        <w:tc>
          <w:tcPr>
            <w:tcW w:type="dxa" w:w="105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1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Cible</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ENF-101</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Débit d’analyse soutenu par sonde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10 Gbps sans perte</w:t>
            </w:r>
          </w:p>
        </w:tc>
      </w:tr>
      <w:tr>
        <w:tc>
          <w:tcPr>
            <w:tcW w:type="dxa" w:w="1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ENF-102</w:t>
            </w:r>
          </w:p>
        </w:tc>
        <w:tc>
          <w:tcPr>
            <w:tcW w:type="dxa" w:w="651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Latence ajoutée en mode coupure (IPS)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1 ms</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ENF-103</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Latence d’affichage d’une alerte critique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5 s après détection</w:t>
            </w:r>
          </w:p>
        </w:tc>
      </w:tr>
      <w:tr>
        <w:tc>
          <w:tcPr>
            <w:tcW w:type="dxa" w:w="1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ENF-104</w:t>
            </w:r>
          </w:p>
        </w:tc>
        <w:tc>
          <w:tcPr>
            <w:tcW w:type="dxa" w:w="651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Capacité d’ingestion d’événements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100 000 evts/s en pic</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ENF-105</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Temps de réponse de l’interface (95e centile)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2 s</w:t>
            </w:r>
          </w:p>
        </w:tc>
      </w:tr>
    </w:tbl>
    <w:p>
      <w:pPr>
        <w:pStyle w:val="Heading2"/>
        <w:spacing w:after="120" w:before="240"/>
      </w:pPr>
      <w:r>
        <w:rPr>
          <w:rFonts w:ascii="Calibri" w:cs="Calibri" w:eastAsia="Calibri" w:hAnsi="Calibri"/>
          <w:b/>
          <w:bCs/>
          <w:color w:val="13315C"/>
          <w:sz w:val="25"/>
          <w:szCs w:val="25"/>
        </w:rPr>
        <w:t xml:space="preserve">6.2 Scalabilité et élasticité</w:t>
      </w:r>
    </w:p>
    <w:p>
      <w:pPr>
        <w:pStyle w:val="ListParagraph"/>
        <w:numPr>
          <w:ilvl w:val="0"/>
          <w:numId w:val="1"/>
        </w:numPr>
        <w:spacing w:after="60" w:line="264"/>
      </w:pPr>
      <w:r>
        <w:rPr>
          <w:rFonts w:ascii="Calibri" w:cs="Calibri" w:eastAsia="Calibri" w:hAnsi="Calibri"/>
          <w:sz w:val="21"/>
          <w:szCs w:val="21"/>
        </w:rPr>
        <w:t xml:space="preserve">Ajout de sondes et de nœuds d’analyse à chaud, sans coupure de service.</w:t>
      </w:r>
    </w:p>
    <w:p>
      <w:pPr>
        <w:pStyle w:val="ListParagraph"/>
        <w:numPr>
          <w:ilvl w:val="0"/>
          <w:numId w:val="1"/>
        </w:numPr>
        <w:spacing w:after="60" w:line="264"/>
      </w:pPr>
      <w:r>
        <w:rPr>
          <w:rFonts w:ascii="Calibri" w:cs="Calibri" w:eastAsia="Calibri" w:hAnsi="Calibri"/>
          <w:sz w:val="21"/>
          <w:szCs w:val="21"/>
        </w:rPr>
        <w:t xml:space="preserve">Architecture supportant la montée en charge de quelques dizaines à plusieurs milliers d’hôtes surveillés.</w:t>
      </w:r>
    </w:p>
    <w:p>
      <w:pPr>
        <w:pStyle w:val="ListParagraph"/>
        <w:numPr>
          <w:ilvl w:val="0"/>
          <w:numId w:val="1"/>
        </w:numPr>
        <w:spacing w:after="60" w:line="264"/>
      </w:pPr>
      <w:r>
        <w:rPr>
          <w:rFonts w:ascii="Calibri" w:cs="Calibri" w:eastAsia="Calibri" w:hAnsi="Calibri"/>
          <w:sz w:val="21"/>
          <w:szCs w:val="21"/>
        </w:rPr>
        <w:t xml:space="preserve">Répartition de charge automatique entre nœuds d’analyse.</w:t>
      </w:r>
    </w:p>
    <w:p>
      <w:pPr>
        <w:pStyle w:val="Heading2"/>
        <w:spacing w:after="120" w:before="240"/>
      </w:pPr>
      <w:r>
        <w:rPr>
          <w:rFonts w:ascii="Calibri" w:cs="Calibri" w:eastAsia="Calibri" w:hAnsi="Calibri"/>
          <w:b/>
          <w:bCs/>
          <w:color w:val="13315C"/>
          <w:sz w:val="25"/>
          <w:szCs w:val="25"/>
        </w:rPr>
        <w:t xml:space="preserve">6.3 Disponibilité et résilience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1050"/>
        <w:gridCol w:w="6510"/>
        <w:gridCol w:w="900"/>
        <w:gridCol w:w="900"/>
      </w:tblGrid>
      <w:tr>
        <w:trPr>
          <w:tblHeader/>
        </w:trPr>
        <w:tc>
          <w:tcPr>
            <w:tcW w:type="dxa" w:w="105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651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w:t>
            </w:r>
          </w:p>
        </w:tc>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Cible</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ENF-301</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Disponibilité de la plateforme de gestion</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99,9 %</w:t>
            </w:r>
          </w:p>
        </w:tc>
      </w:tr>
      <w:tr>
        <w:tc>
          <w:tcPr>
            <w:tcW w:type="dxa" w:w="1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ENF-302</w:t>
            </w:r>
          </w:p>
        </w:tc>
        <w:tc>
          <w:tcPr>
            <w:tcW w:type="dxa" w:w="651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Redondance des composants critiques (bases, corrélation, API)</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Actif/actif ou actif/passif</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ENF-303</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Mode bypass matériel des sondes en coupure (fail-open/fail-close configurable)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Requis</w:t>
            </w:r>
          </w:p>
        </w:tc>
      </w:tr>
      <w:tr>
        <w:tc>
          <w:tcPr>
            <w:tcW w:type="dxa" w:w="105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ENF-304</w:t>
            </w:r>
          </w:p>
        </w:tc>
        <w:tc>
          <w:tcPr>
            <w:tcW w:type="dxa" w:w="651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Sauvegarde et restauration testée des configurations et données</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RPO &lt; 24 h / RTO &lt; 4 h</w:t>
            </w:r>
          </w:p>
        </w:tc>
      </w:tr>
      <w:tr>
        <w:tc>
          <w:tcPr>
            <w:tcW w:type="dxa" w:w="105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ENF-305</w:t>
            </w:r>
          </w:p>
        </w:tc>
        <w:tc>
          <w:tcPr>
            <w:tcW w:type="dxa" w:w="651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Absence de perte d’événement en cas de pic (buffering/queue)</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w:t>
            </w:r>
          </w:p>
        </w:tc>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Requis</w:t>
            </w:r>
          </w:p>
        </w:tc>
      </w:tr>
    </w:tbl>
    <w:p>
      <w:pPr>
        <w:pStyle w:val="Heading2"/>
        <w:spacing w:after="120" w:before="240"/>
      </w:pPr>
      <w:r>
        <w:rPr>
          <w:rFonts w:ascii="Calibri" w:cs="Calibri" w:eastAsia="Calibri" w:hAnsi="Calibri"/>
          <w:b/>
          <w:bCs/>
          <w:color w:val="13315C"/>
          <w:sz w:val="25"/>
          <w:szCs w:val="25"/>
        </w:rPr>
        <w:t xml:space="preserve">6.4 Sécurité de la solution elle-même</w:t>
      </w:r>
    </w:p>
    <w:p>
      <w:pPr>
        <w:spacing w:after="120" w:line="276"/>
      </w:pPr>
      <w:r>
        <w:rPr>
          <w:rFonts w:ascii="Calibri" w:cs="Calibri" w:eastAsia="Calibri" w:hAnsi="Calibri"/>
        </w:rPr>
        <w:t xml:space="preserve">La plateforme de sécurité constitue une cible de choix : sa propre robustesse est une exigence de premier ordre.</w:t>
      </w:r>
    </w:p>
    <w:p>
      <w:pPr>
        <w:pStyle w:val="ListParagraph"/>
        <w:numPr>
          <w:ilvl w:val="0"/>
          <w:numId w:val="1"/>
        </w:numPr>
        <w:spacing w:after="60" w:line="264"/>
      </w:pPr>
      <w:r>
        <w:rPr>
          <w:rFonts w:ascii="Calibri" w:cs="Calibri" w:eastAsia="Calibri" w:hAnsi="Calibri"/>
          <w:sz w:val="21"/>
          <w:szCs w:val="21"/>
        </w:rPr>
        <w:t xml:space="preserve">Chiffrement de bout en bout des communications inter-composants (TLS mutuel).</w:t>
      </w:r>
    </w:p>
    <w:p>
      <w:pPr>
        <w:pStyle w:val="ListParagraph"/>
        <w:numPr>
          <w:ilvl w:val="0"/>
          <w:numId w:val="1"/>
        </w:numPr>
        <w:spacing w:after="60" w:line="264"/>
      </w:pPr>
      <w:r>
        <w:rPr>
          <w:rFonts w:ascii="Calibri" w:cs="Calibri" w:eastAsia="Calibri" w:hAnsi="Calibri"/>
          <w:sz w:val="21"/>
          <w:szCs w:val="21"/>
        </w:rPr>
        <w:t xml:space="preserve">Chiffrement des données au repos (captures, journaux, configurations).</w:t>
      </w:r>
    </w:p>
    <w:p>
      <w:pPr>
        <w:pStyle w:val="ListParagraph"/>
        <w:numPr>
          <w:ilvl w:val="0"/>
          <w:numId w:val="1"/>
        </w:numPr>
        <w:spacing w:after="60" w:line="264"/>
      </w:pPr>
      <w:r>
        <w:rPr>
          <w:rFonts w:ascii="Calibri" w:cs="Calibri" w:eastAsia="Calibri" w:hAnsi="Calibri"/>
          <w:sz w:val="21"/>
          <w:szCs w:val="21"/>
        </w:rPr>
        <w:t xml:space="preserve">Durcissement des systèmes (hardening), surface d’attaque minimale, principe du moindre privilège.</w:t>
      </w:r>
    </w:p>
    <w:p>
      <w:pPr>
        <w:pStyle w:val="ListParagraph"/>
        <w:numPr>
          <w:ilvl w:val="0"/>
          <w:numId w:val="1"/>
        </w:numPr>
        <w:spacing w:after="60" w:line="264"/>
      </w:pPr>
      <w:r>
        <w:rPr>
          <w:rFonts w:ascii="Calibri" w:cs="Calibri" w:eastAsia="Calibri" w:hAnsi="Calibri"/>
          <w:sz w:val="21"/>
          <w:szCs w:val="21"/>
        </w:rPr>
        <w:t xml:space="preserve">Piste d’audit inaltérable et signée pour toutes les actions sensibles.</w:t>
      </w:r>
    </w:p>
    <w:p>
      <w:pPr>
        <w:pStyle w:val="ListParagraph"/>
        <w:numPr>
          <w:ilvl w:val="0"/>
          <w:numId w:val="1"/>
        </w:numPr>
        <w:spacing w:after="60" w:line="264"/>
      </w:pPr>
      <w:r>
        <w:rPr>
          <w:rFonts w:ascii="Calibri" w:cs="Calibri" w:eastAsia="Calibri" w:hAnsi="Calibri"/>
          <w:sz w:val="21"/>
          <w:szCs w:val="21"/>
        </w:rPr>
        <w:t xml:space="preserve">Gestion sécurisée des secrets (coffre-fort de secrets, rotation des clés).</w:t>
      </w:r>
    </w:p>
    <w:p>
      <w:pPr>
        <w:pStyle w:val="ListParagraph"/>
        <w:numPr>
          <w:ilvl w:val="0"/>
          <w:numId w:val="1"/>
        </w:numPr>
        <w:spacing w:after="60" w:line="264"/>
      </w:pPr>
      <w:r>
        <w:rPr>
          <w:rFonts w:ascii="Calibri" w:cs="Calibri" w:eastAsia="Calibri" w:hAnsi="Calibri"/>
          <w:sz w:val="21"/>
          <w:szCs w:val="21"/>
        </w:rPr>
        <w:t xml:space="preserve">Processus de mise à jour de sécurité et suivi des vulnérabilités de la solution.</w:t>
      </w:r>
    </w:p>
    <w:p>
      <w:pPr>
        <w:pStyle w:val="Heading2"/>
        <w:spacing w:after="120" w:before="240"/>
      </w:pPr>
      <w:r>
        <w:rPr>
          <w:rFonts w:ascii="Calibri" w:cs="Calibri" w:eastAsia="Calibri" w:hAnsi="Calibri"/>
          <w:b/>
          <w:bCs/>
          <w:color w:val="13315C"/>
          <w:sz w:val="25"/>
          <w:szCs w:val="25"/>
        </w:rPr>
        <w:t xml:space="preserve">6.5 Ergonomie et exploitabilité</w:t>
      </w:r>
    </w:p>
    <w:p>
      <w:pPr>
        <w:pStyle w:val="ListParagraph"/>
        <w:numPr>
          <w:ilvl w:val="0"/>
          <w:numId w:val="1"/>
        </w:numPr>
        <w:spacing w:after="60" w:line="264"/>
      </w:pPr>
      <w:r>
        <w:rPr>
          <w:rFonts w:ascii="Calibri" w:cs="Calibri" w:eastAsia="Calibri" w:hAnsi="Calibri"/>
          <w:sz w:val="21"/>
          <w:szCs w:val="21"/>
        </w:rPr>
        <w:t xml:space="preserve">Interface web responsive, claire, orientée analyste (réduction de la charge cognitive).</w:t>
      </w:r>
    </w:p>
    <w:p>
      <w:pPr>
        <w:pStyle w:val="ListParagraph"/>
        <w:numPr>
          <w:ilvl w:val="0"/>
          <w:numId w:val="1"/>
        </w:numPr>
        <w:spacing w:after="60" w:line="264"/>
      </w:pPr>
      <w:r>
        <w:rPr>
          <w:rFonts w:ascii="Calibri" w:cs="Calibri" w:eastAsia="Calibri" w:hAnsi="Calibri"/>
          <w:sz w:val="21"/>
          <w:szCs w:val="21"/>
        </w:rPr>
        <w:t xml:space="preserve">Tableaux de bord personnalisables par profil et par rôle.</w:t>
      </w:r>
    </w:p>
    <w:p>
      <w:pPr>
        <w:pStyle w:val="ListParagraph"/>
        <w:numPr>
          <w:ilvl w:val="0"/>
          <w:numId w:val="1"/>
        </w:numPr>
        <w:spacing w:after="60" w:line="264"/>
      </w:pPr>
      <w:r>
        <w:rPr>
          <w:rFonts w:ascii="Calibri" w:cs="Calibri" w:eastAsia="Calibri" w:hAnsi="Calibri"/>
          <w:sz w:val="21"/>
          <w:szCs w:val="21"/>
        </w:rPr>
        <w:t xml:space="preserve">Recherche rapide et filtres avancés sur les événements et flux.</w:t>
      </w:r>
    </w:p>
    <w:p>
      <w:pPr>
        <w:pStyle w:val="ListParagraph"/>
        <w:numPr>
          <w:ilvl w:val="0"/>
          <w:numId w:val="1"/>
        </w:numPr>
        <w:spacing w:after="60" w:line="264"/>
      </w:pPr>
      <w:r>
        <w:rPr>
          <w:rFonts w:ascii="Calibri" w:cs="Calibri" w:eastAsia="Calibri" w:hAnsi="Calibri"/>
          <w:sz w:val="21"/>
          <w:szCs w:val="21"/>
        </w:rPr>
        <w:t xml:space="preserve">Documentation d’exploitation et aide contextuelle intégrée.</w:t>
      </w:r>
    </w:p>
    <w:p>
      <w:pPr>
        <w:pStyle w:val="ListParagraph"/>
        <w:numPr>
          <w:ilvl w:val="0"/>
          <w:numId w:val="1"/>
        </w:numPr>
        <w:spacing w:after="60" w:line="264"/>
      </w:pPr>
      <w:r>
        <w:rPr>
          <w:rFonts w:ascii="Calibri" w:cs="Calibri" w:eastAsia="Calibri" w:hAnsi="Calibri"/>
          <w:sz w:val="21"/>
          <w:szCs w:val="21"/>
        </w:rPr>
        <w:t xml:space="preserve">Internationalisation : interface en français (langue principale) et en anglais.</w:t>
      </w:r>
    </w:p>
    <w:p>
      <w:pPr>
        <w:pStyle w:val="Heading2"/>
        <w:spacing w:after="120" w:before="240"/>
      </w:pPr>
      <w:r>
        <w:rPr>
          <w:rFonts w:ascii="Calibri" w:cs="Calibri" w:eastAsia="Calibri" w:hAnsi="Calibri"/>
          <w:b/>
          <w:bCs/>
          <w:color w:val="13315C"/>
          <w:sz w:val="25"/>
          <w:szCs w:val="25"/>
        </w:rPr>
        <w:t xml:space="preserve">6.6 Maintenabilité et évolutivité</w:t>
      </w:r>
    </w:p>
    <w:p>
      <w:pPr>
        <w:pStyle w:val="ListParagraph"/>
        <w:numPr>
          <w:ilvl w:val="0"/>
          <w:numId w:val="1"/>
        </w:numPr>
        <w:spacing w:after="60" w:line="264"/>
      </w:pPr>
      <w:r>
        <w:rPr>
          <w:rFonts w:ascii="Calibri" w:cs="Calibri" w:eastAsia="Calibri" w:hAnsi="Calibri"/>
          <w:sz w:val="21"/>
          <w:szCs w:val="21"/>
        </w:rPr>
        <w:t xml:space="preserve">Architecture modulaire permettant l’ajout de moteurs de détection et de connecteurs.</w:t>
      </w:r>
    </w:p>
    <w:p>
      <w:pPr>
        <w:pStyle w:val="ListParagraph"/>
        <w:numPr>
          <w:ilvl w:val="0"/>
          <w:numId w:val="1"/>
        </w:numPr>
        <w:spacing w:after="60" w:line="264"/>
      </w:pPr>
      <w:r>
        <w:rPr>
          <w:rFonts w:ascii="Calibri" w:cs="Calibri" w:eastAsia="Calibri" w:hAnsi="Calibri"/>
          <w:sz w:val="21"/>
          <w:szCs w:val="21"/>
        </w:rPr>
        <w:t xml:space="preserve">Mises à jour des règles et modèles sans interruption de service.</w:t>
      </w:r>
    </w:p>
    <w:p>
      <w:pPr>
        <w:pStyle w:val="ListParagraph"/>
        <w:numPr>
          <w:ilvl w:val="0"/>
          <w:numId w:val="1"/>
        </w:numPr>
        <w:spacing w:after="60" w:line="264"/>
      </w:pPr>
      <w:r>
        <w:rPr>
          <w:rFonts w:ascii="Calibri" w:cs="Calibri" w:eastAsia="Calibri" w:hAnsi="Calibri"/>
          <w:sz w:val="21"/>
          <w:szCs w:val="21"/>
        </w:rPr>
        <w:t xml:space="preserve">Journalisation technique exploitable pour le diagnostic (observabilité de la solution).</w:t>
      </w:r>
    </w:p>
    <w:p>
      <w:pPr>
        <w:pStyle w:val="ListParagraph"/>
        <w:numPr>
          <w:ilvl w:val="0"/>
          <w:numId w:val="1"/>
        </w:numPr>
        <w:spacing w:after="60" w:line="264"/>
      </w:pPr>
      <w:r>
        <w:rPr>
          <w:rFonts w:ascii="Calibri" w:cs="Calibri" w:eastAsia="Calibri" w:hAnsi="Calibri"/>
          <w:sz w:val="21"/>
          <w:szCs w:val="21"/>
        </w:rPr>
        <w:t xml:space="preserve">Déploiement reproductible (infrastructure as code, conteneurisation).</w:t>
      </w:r>
    </w:p>
    <w:p>
      <w:r>
        <w:br w:type="page"/>
      </w:r>
    </w:p>
    <w:p>
      <w:pPr>
        <w:pStyle w:val="Heading1"/>
        <w:spacing w:after="160" w:before="320"/>
      </w:pPr>
      <w:r>
        <w:rPr>
          <w:rFonts w:ascii="Calibri" w:cs="Calibri" w:eastAsia="Calibri" w:hAnsi="Calibri"/>
          <w:b/>
          <w:bCs/>
          <w:color w:val="0B2545"/>
          <w:sz w:val="30"/>
          <w:szCs w:val="30"/>
        </w:rPr>
        <w:t xml:space="preserve">7. Contraintes techniques et environnement</w:t>
      </w:r>
    </w:p>
    <w:p>
      <w:pPr>
        <w:pStyle w:val="Heading2"/>
        <w:spacing w:after="120" w:before="240"/>
      </w:pPr>
      <w:r>
        <w:rPr>
          <w:rFonts w:ascii="Calibri" w:cs="Calibri" w:eastAsia="Calibri" w:hAnsi="Calibri"/>
          <w:b/>
          <w:bCs/>
          <w:color w:val="13315C"/>
          <w:sz w:val="25"/>
          <w:szCs w:val="25"/>
        </w:rPr>
        <w:t xml:space="preserve">7.1 Socle technologique recommandé</w:t>
      </w:r>
    </w:p>
    <w:p>
      <w:pPr>
        <w:spacing w:after="120" w:line="276"/>
      </w:pPr>
      <w:r>
        <w:rPr>
          <w:rFonts w:ascii="Calibri" w:cs="Calibri" w:eastAsia="Calibri" w:hAnsi="Calibri"/>
        </w:rPr>
        <w:t xml:space="preserve">Le socle privilégie des briques éprouvées et, autant que possible, ouvertes, afin de garantir la maîtrise, l’auditabilité et l’absence d’enfermement propriétaire.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500"/>
        <w:gridCol w:w="6860"/>
      </w:tblGrid>
      <w:tr>
        <w:trPr>
          <w:tblHeader/>
        </w:trPr>
        <w:tc>
          <w:tcPr>
            <w:tcW w:type="dxa" w:w="25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Domaine</w:t>
            </w:r>
          </w:p>
        </w:tc>
        <w:tc>
          <w:tcPr>
            <w:tcW w:type="dxa" w:w="68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Orientations technologiques recommandées</w:t>
            </w:r>
          </w:p>
        </w:tc>
      </w:tr>
      <w:tr>
        <w:tc>
          <w:tcPr>
            <w:tcW w:type="dxa" w:w="25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Capture haute perf.</w:t>
            </w:r>
          </w:p>
        </w:tc>
        <w:tc>
          <w:tcPr>
            <w:tcW w:type="dxa" w:w="68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libpcap, PF_RING, DPDK, AF_PACKET selon le débit ciblé</w:t>
            </w:r>
          </w:p>
        </w:tc>
      </w:tr>
      <w:tr>
        <w:tc>
          <w:tcPr>
            <w:tcW w:type="dxa" w:w="25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Moteurs de détection</w:t>
            </w:r>
          </w:p>
        </w:tc>
        <w:tc>
          <w:tcPr>
            <w:tcW w:type="dxa" w:w="68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Moteur de signatures type Suricata/Zeek ; moteurs d’anomalie et ML complémentaires</w:t>
            </w:r>
          </w:p>
        </w:tc>
      </w:tr>
      <w:tr>
        <w:tc>
          <w:tcPr>
            <w:tcW w:type="dxa" w:w="25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Traitement des flux</w:t>
            </w:r>
          </w:p>
        </w:tc>
        <w:tc>
          <w:tcPr>
            <w:tcW w:type="dxa" w:w="68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Bus de messages (type Kafka), traitement en flux (stream processing)</w:t>
            </w:r>
          </w:p>
        </w:tc>
      </w:tr>
      <w:tr>
        <w:tc>
          <w:tcPr>
            <w:tcW w:type="dxa" w:w="25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Stockage</w:t>
            </w:r>
          </w:p>
        </w:tc>
        <w:tc>
          <w:tcPr>
            <w:tcW w:type="dxa" w:w="68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Base de séries temporelles + moteur d’indexation/recherche ; stockage objet pour les captures</w:t>
            </w:r>
          </w:p>
        </w:tc>
      </w:tr>
      <w:tr>
        <w:tc>
          <w:tcPr>
            <w:tcW w:type="dxa" w:w="25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Backend / API</w:t>
            </w:r>
          </w:p>
        </w:tc>
        <w:tc>
          <w:tcPr>
            <w:tcW w:type="dxa" w:w="68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Services conteneurisés, API REST/GraphQL, orchestration (Kubernetes ou équivalent)</w:t>
            </w:r>
          </w:p>
        </w:tc>
      </w:tr>
      <w:tr>
        <w:tc>
          <w:tcPr>
            <w:tcW w:type="dxa" w:w="25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Frontend</w:t>
            </w:r>
          </w:p>
        </w:tc>
        <w:tc>
          <w:tcPr>
            <w:tcW w:type="dxa" w:w="68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Application web moderne (SPA), visualisations temps réel</w:t>
            </w:r>
          </w:p>
        </w:tc>
      </w:tr>
      <w:tr>
        <w:tc>
          <w:tcPr>
            <w:tcW w:type="dxa" w:w="25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Threat intel</w:t>
            </w:r>
          </w:p>
        </w:tc>
        <w:tc>
          <w:tcPr>
            <w:tcW w:type="dxa" w:w="68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Support STIX/TAXII, connecteurs vers plateformes de renseignement</w:t>
            </w:r>
          </w:p>
        </w:tc>
      </w:tr>
    </w:tbl>
    <w:tbl>
      <w:tblPr>
        <w:tblW w:type="dxa" w:w="9360"/>
        <w:tblBorders>
          <w:top w:val="single" w:color="EEF3F8" w:sz="2"/>
          <w:left w:val="single" w:color="1B6CA8"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Note</w:t>
            </w:r>
          </w:p>
          <w:p>
            <w:pPr>
              <w:spacing w:after="0" w:line="264"/>
            </w:pPr>
            <w:r>
              <w:rPr>
                <w:rFonts w:ascii="Calibri" w:cs="Calibri" w:eastAsia="Calibri" w:hAnsi="Calibri"/>
                <w:color w:val="3A3F46"/>
                <w:sz w:val="20"/>
                <w:szCs w:val="20"/>
              </w:rPr>
              <w:t xml:space="preserve">Ces orientations sont indicatives : le prestataire peut proposer des alternatives équivalentes, sous réserve de démontrer le respect des exigences de performance, de sécurité et de souveraineté.</w:t>
            </w:r>
          </w:p>
        </w:tc>
      </w:tr>
    </w:tbl>
    <w:p>
      <w:pPr>
        <w:pStyle w:val="Heading2"/>
        <w:spacing w:after="120" w:before="240"/>
      </w:pPr>
      <w:r>
        <w:rPr>
          <w:rFonts w:ascii="Calibri" w:cs="Calibri" w:eastAsia="Calibri" w:hAnsi="Calibri"/>
          <w:b/>
          <w:bCs/>
          <w:color w:val="13315C"/>
          <w:sz w:val="25"/>
          <w:szCs w:val="25"/>
        </w:rPr>
        <w:t xml:space="preserve">7.2 Environnement de déploiement</w:t>
      </w:r>
    </w:p>
    <w:p>
      <w:pPr>
        <w:pStyle w:val="ListParagraph"/>
        <w:numPr>
          <w:ilvl w:val="0"/>
          <w:numId w:val="1"/>
        </w:numPr>
        <w:spacing w:after="60" w:line="264"/>
      </w:pPr>
      <w:r>
        <w:rPr>
          <w:rFonts w:ascii="Calibri" w:cs="Calibri" w:eastAsia="Calibri" w:hAnsi="Calibri"/>
          <w:sz w:val="21"/>
          <w:szCs w:val="21"/>
        </w:rPr>
        <w:t xml:space="preserve">Déploiement on-premise prioritaire ; option hybride possible sans transfert de données sensibles hors du périmètre maîtrisé.</w:t>
      </w:r>
    </w:p>
    <w:p>
      <w:pPr>
        <w:pStyle w:val="ListParagraph"/>
        <w:numPr>
          <w:ilvl w:val="0"/>
          <w:numId w:val="1"/>
        </w:numPr>
        <w:spacing w:after="60" w:line="264"/>
      </w:pPr>
      <w:r>
        <w:rPr>
          <w:rFonts w:ascii="Calibri" w:cs="Calibri" w:eastAsia="Calibri" w:hAnsi="Calibri"/>
          <w:sz w:val="21"/>
          <w:szCs w:val="21"/>
        </w:rPr>
        <w:t xml:space="preserve">Compatibilité avec des environnements virtualisés et physiques.</w:t>
      </w:r>
    </w:p>
    <w:p>
      <w:pPr>
        <w:pStyle w:val="ListParagraph"/>
        <w:numPr>
          <w:ilvl w:val="0"/>
          <w:numId w:val="1"/>
        </w:numPr>
        <w:spacing w:after="60" w:line="264"/>
      </w:pPr>
      <w:r>
        <w:rPr>
          <w:rFonts w:ascii="Calibri" w:cs="Calibri" w:eastAsia="Calibri" w:hAnsi="Calibri"/>
          <w:sz w:val="21"/>
          <w:szCs w:val="21"/>
        </w:rPr>
        <w:t xml:space="preserve">Synchronisation temporelle fiable (NTP/PTP) obligatoire pour l’horodatage et la corrélation.</w:t>
      </w:r>
    </w:p>
    <w:p>
      <w:pPr>
        <w:pStyle w:val="ListParagraph"/>
        <w:numPr>
          <w:ilvl w:val="0"/>
          <w:numId w:val="1"/>
        </w:numPr>
        <w:spacing w:after="60" w:line="264"/>
      </w:pPr>
      <w:r>
        <w:rPr>
          <w:rFonts w:ascii="Calibri" w:cs="Calibri" w:eastAsia="Calibri" w:hAnsi="Calibri"/>
          <w:sz w:val="21"/>
          <w:szCs w:val="21"/>
        </w:rPr>
        <w:t xml:space="preserve">Prise en compte des liaisons haut débit (10/40/100 Gbps) sur les cœurs de réseau.</w:t>
      </w:r>
    </w:p>
    <w:p>
      <w:pPr>
        <w:pStyle w:val="Heading2"/>
        <w:spacing w:after="120" w:before="240"/>
      </w:pPr>
      <w:r>
        <w:rPr>
          <w:rFonts w:ascii="Calibri" w:cs="Calibri" w:eastAsia="Calibri" w:hAnsi="Calibri"/>
          <w:b/>
          <w:bCs/>
          <w:color w:val="13315C"/>
          <w:sz w:val="25"/>
          <w:szCs w:val="25"/>
        </w:rPr>
        <w:t xml:space="preserve">7.3 Contraintes d’intégration à l’existant</w:t>
      </w:r>
    </w:p>
    <w:p>
      <w:pPr>
        <w:pStyle w:val="ListParagraph"/>
        <w:numPr>
          <w:ilvl w:val="0"/>
          <w:numId w:val="1"/>
        </w:numPr>
        <w:spacing w:after="60" w:line="264"/>
      </w:pPr>
      <w:r>
        <w:rPr>
          <w:rFonts w:ascii="Calibri" w:cs="Calibri" w:eastAsia="Calibri" w:hAnsi="Calibri"/>
          <w:sz w:val="21"/>
          <w:szCs w:val="21"/>
        </w:rPr>
        <w:t xml:space="preserve">Intégration au SI de supervision et de ticketing en place (ITSM).</w:t>
      </w:r>
    </w:p>
    <w:p>
      <w:pPr>
        <w:pStyle w:val="ListParagraph"/>
        <w:numPr>
          <w:ilvl w:val="0"/>
          <w:numId w:val="1"/>
        </w:numPr>
        <w:spacing w:after="60" w:line="264"/>
      </w:pPr>
      <w:r>
        <w:rPr>
          <w:rFonts w:ascii="Calibri" w:cs="Calibri" w:eastAsia="Calibri" w:hAnsi="Calibri"/>
          <w:sz w:val="21"/>
          <w:szCs w:val="21"/>
        </w:rPr>
        <w:t xml:space="preserve">Interopérabilité avec les pare-feu, commutateurs et équipements réseau du parc.</w:t>
      </w:r>
    </w:p>
    <w:p>
      <w:pPr>
        <w:pStyle w:val="ListParagraph"/>
        <w:numPr>
          <w:ilvl w:val="0"/>
          <w:numId w:val="1"/>
        </w:numPr>
        <w:spacing w:after="60" w:line="264"/>
      </w:pPr>
      <w:r>
        <w:rPr>
          <w:rFonts w:ascii="Calibri" w:cs="Calibri" w:eastAsia="Calibri" w:hAnsi="Calibri"/>
          <w:sz w:val="21"/>
          <w:szCs w:val="21"/>
        </w:rPr>
        <w:t xml:space="preserve">Intégration à l’annuaire (Active Directory) pour l’authentification et le contexte.</w:t>
      </w:r>
    </w:p>
    <w:p>
      <w:pPr>
        <w:pStyle w:val="ListParagraph"/>
        <w:numPr>
          <w:ilvl w:val="0"/>
          <w:numId w:val="1"/>
        </w:numPr>
        <w:spacing w:after="60" w:line="264"/>
      </w:pPr>
      <w:r>
        <w:rPr>
          <w:rFonts w:ascii="Calibri" w:cs="Calibri" w:eastAsia="Calibri" w:hAnsi="Calibri"/>
          <w:sz w:val="21"/>
          <w:szCs w:val="21"/>
        </w:rPr>
        <w:t xml:space="preserve">Export des événements vers un SIEM éventuel (Syslog, CEF, JSON).</w:t>
      </w:r>
    </w:p>
    <w:p>
      <w:r>
        <w:br w:type="page"/>
      </w:r>
    </w:p>
    <w:p>
      <w:pPr>
        <w:pStyle w:val="Heading1"/>
        <w:spacing w:after="160" w:before="320"/>
      </w:pPr>
      <w:r>
        <w:rPr>
          <w:rFonts w:ascii="Calibri" w:cs="Calibri" w:eastAsia="Calibri" w:hAnsi="Calibri"/>
          <w:b/>
          <w:bCs/>
          <w:color w:val="0B2545"/>
          <w:sz w:val="30"/>
          <w:szCs w:val="30"/>
        </w:rPr>
        <w:t xml:space="preserve">8. Conformité réglementaire et cadre légal</w:t>
      </w:r>
    </w:p>
    <w:p>
      <w:pPr>
        <w:spacing w:after="120" w:line="276"/>
      </w:pPr>
      <w:r>
        <w:rPr>
          <w:rFonts w:ascii="Calibri" w:cs="Calibri" w:eastAsia="Calibri" w:hAnsi="Calibri"/>
        </w:rPr>
        <w:t xml:space="preserve">La surveillance du trafic réseau touche à des données potentiellement personnelles. La conformité n’est pas une option : elle conditionne la légalité du dispositif.</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400"/>
        <w:gridCol w:w="6960"/>
      </w:tblGrid>
      <w:tr>
        <w:trPr>
          <w:tblHeader/>
        </w:trPr>
        <w:tc>
          <w:tcPr>
            <w:tcW w:type="dxa" w:w="24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Cadre</w:t>
            </w:r>
          </w:p>
        </w:tc>
        <w:tc>
          <w:tcPr>
            <w:tcW w:type="dxa" w:w="69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Exigences à respecter</w:t>
            </w:r>
          </w:p>
        </w:tc>
      </w:tr>
      <w:tr>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RGPD</w:t>
            </w:r>
          </w:p>
        </w:tc>
        <w:tc>
          <w:tcPr>
            <w:tcW w:type="dxa" w:w="69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Minimisation des données, finalité déterminée, durée de conservation justifiée, information des personnes, registre des traitements, analyse d’impact (AIPD) si nécessaire.</w:t>
            </w:r>
          </w:p>
        </w:tc>
      </w:tr>
      <w:tr>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Droit du travail (FR)</w:t>
            </w:r>
          </w:p>
        </w:tc>
        <w:tc>
          <w:tcPr>
            <w:tcW w:type="dxa" w:w="69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Information et consultation préalable des instances représentatives ; proportionnalité de la surveillance ; information des salariés.</w:t>
            </w:r>
          </w:p>
        </w:tc>
      </w:tr>
      <w:tr>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Directive NIS2</w:t>
            </w:r>
          </w:p>
        </w:tc>
        <w:tc>
          <w:tcPr>
            <w:tcW w:type="dxa" w:w="69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Mesures de gestion des risques, détection et notification des incidents pour les entités concernées.</w:t>
            </w:r>
          </w:p>
        </w:tc>
      </w:tr>
      <w:tr>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Référentiels ANSSI</w:t>
            </w:r>
          </w:p>
        </w:tc>
        <w:tc>
          <w:tcPr>
            <w:tcW w:type="dxa" w:w="69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Alignement sur les bonnes pratiques (journalisation, cloisonnement, PSSI).</w:t>
            </w:r>
          </w:p>
        </w:tc>
      </w:tr>
      <w:tr>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ISO/IEC 27001</w:t>
            </w:r>
          </w:p>
        </w:tc>
        <w:tc>
          <w:tcPr>
            <w:tcW w:type="dxa" w:w="69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Contribution au SMSI : traçabilité, gestion des incidents, contrôle d’accès.</w:t>
            </w:r>
          </w:p>
        </w:tc>
      </w:tr>
    </w:tbl>
    <w:tbl>
      <w:tblPr>
        <w:tblW w:type="dxa" w:w="9360"/>
        <w:tblBorders>
          <w:top w:val="single" w:color="EEF3F8" w:sz="2"/>
          <w:left w:val="single" w:color="2EC4B6" w:sz="24"/>
          <w:bottom w:val="single" w:color="EEF3F8" w:sz="2"/>
          <w:right w:val="single" w:color="EEF3F8" w:sz="2"/>
          <w:insideH w:val="none"/>
          <w:insideV w:val="none"/>
        </w:tblBorders>
      </w:tblPr>
      <w:tblGrid>
        <w:gridCol w:w="9360"/>
      </w:tblGrid>
      <w:tr>
        <w:tc>
          <w:tcPr>
            <w:tcW w:type="dxa" w:w="9360"/>
            <w:shd w:fill="EEF3F8" w:val="clear"/>
            <w:tcMar>
              <w:top w:type="dxa" w:w="120"/>
              <w:left w:type="dxa" w:w="180"/>
              <w:bottom w:type="dxa" w:w="120"/>
              <w:right w:type="dxa" w:w="160"/>
            </w:tcMar>
          </w:tcPr>
          <w:p>
            <w:pPr>
              <w:spacing w:after="80"/>
            </w:pPr>
            <w:r>
              <w:rPr>
                <w:rFonts w:ascii="Calibri" w:cs="Calibri" w:eastAsia="Calibri" w:hAnsi="Calibri"/>
                <w:b/>
                <w:bCs/>
                <w:color w:val="0B2545"/>
                <w:sz w:val="21"/>
                <w:szCs w:val="21"/>
              </w:rPr>
              <w:t xml:space="preserve">Exigence — Conformité</w:t>
            </w:r>
          </w:p>
          <w:p>
            <w:pPr>
              <w:spacing w:after="0" w:line="264"/>
            </w:pPr>
            <w:r>
              <w:rPr>
                <w:rFonts w:ascii="Calibri" w:cs="Calibri" w:eastAsia="Calibri" w:hAnsi="Calibri"/>
                <w:color w:val="3A3F46"/>
                <w:sz w:val="20"/>
                <w:szCs w:val="20"/>
              </w:rPr>
              <w:t xml:space="preserve">La solution doit fournir des mécanismes natifs de gestion de la conservation (rétention paramétrable, purge automatique), d’anonymisation/pseudonymisation, et de cloisonnement des accès aux données sensibles, avec journalisation des consultations.</w:t>
            </w:r>
          </w:p>
        </w:tc>
      </w:tr>
    </w:tbl>
    <w:p>
      <w:r>
        <w:br w:type="page"/>
      </w:r>
    </w:p>
    <w:p>
      <w:pPr>
        <w:pStyle w:val="Heading1"/>
        <w:spacing w:after="160" w:before="320"/>
      </w:pPr>
      <w:r>
        <w:rPr>
          <w:rFonts w:ascii="Calibri" w:cs="Calibri" w:eastAsia="Calibri" w:hAnsi="Calibri"/>
          <w:b/>
          <w:bCs/>
          <w:color w:val="0B2545"/>
          <w:sz w:val="30"/>
          <w:szCs w:val="30"/>
        </w:rPr>
        <w:t xml:space="preserve">9. Intégrations et interopérabilité</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600"/>
        <w:gridCol w:w="6760"/>
      </w:tblGrid>
      <w:tr>
        <w:trPr>
          <w:tblHeader/>
        </w:trPr>
        <w:tc>
          <w:tcPr>
            <w:tcW w:type="dxa" w:w="26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Catégorie</w:t>
            </w:r>
          </w:p>
        </w:tc>
        <w:tc>
          <w:tcPr>
            <w:tcW w:type="dxa" w:w="67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Intégrations attendues</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Équipements réseau</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Pare-feu, commutateurs, routeurs (API/CLI) pour blocage et quarantaine dynamiques.</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Annuaire &amp; IAM</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Active Directory / LDAP, SSO (SAML/OIDC), MFA.</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SIEM / log management</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Export Syslog/CEF/JSON, corrélation croisée.</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EDR / postes</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Corrélation réseau ↔ endpoint, isolation coordonnée.</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ITSM / ticketing</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Création automatique de tickets d’incident, suivi du cycle de vie.</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Threat intelligence</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STIX/TAXII, plateformes de renseignement, listes d’IoC.</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Notification</w:t>
            </w:r>
          </w:p>
        </w:tc>
        <w:tc>
          <w:tcPr>
            <w:tcW w:type="dxa" w:w="67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E-mail, webhooks, messagerie d’équipe (chat), Syslog.</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Sandbox / antivirus</w:t>
            </w:r>
          </w:p>
        </w:tc>
        <w:tc>
          <w:tcPr>
            <w:tcW w:type="dxa" w:w="67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Analyse des fichiers extraits, vérification de hash/réputation.</w:t>
            </w:r>
          </w:p>
        </w:tc>
      </w:tr>
    </w:tbl>
    <w:p>
      <w:pPr>
        <w:spacing w:after="120" w:line="276"/>
      </w:pPr>
      <w:r>
        <w:rPr>
          <w:rFonts w:ascii="Calibri" w:cs="Calibri" w:eastAsia="Calibri" w:hAnsi="Calibri"/>
        </w:rPr>
        <w:t xml:space="preserve">Toutes les intégrations doivent s’appuyer sur des API documentées, versionnées et sécurisées (authentification, chiffrement, limitation de débit).</w:t>
      </w:r>
    </w:p>
    <w:p>
      <w:r>
        <w:br w:type="page"/>
      </w:r>
    </w:p>
    <w:p>
      <w:pPr>
        <w:pStyle w:val="Heading1"/>
        <w:spacing w:after="160" w:before="320"/>
      </w:pPr>
      <w:r>
        <w:rPr>
          <w:rFonts w:ascii="Calibri" w:cs="Calibri" w:eastAsia="Calibri" w:hAnsi="Calibri"/>
          <w:b/>
          <w:bCs/>
          <w:color w:val="0B2545"/>
          <w:sz w:val="30"/>
          <w:szCs w:val="30"/>
        </w:rPr>
        <w:t xml:space="preserve">10. Démarche projet, phases et livrables</w:t>
      </w:r>
    </w:p>
    <w:p>
      <w:pPr>
        <w:spacing w:after="120" w:line="276"/>
      </w:pPr>
      <w:r>
        <w:rPr>
          <w:rFonts w:ascii="Calibri" w:cs="Calibri" w:eastAsia="Calibri" w:hAnsi="Calibri"/>
        </w:rPr>
        <w:t xml:space="preserve">Le projet est conduit de façon itérative, chaque phase produisant des livrables validables et une valeur exploitable.</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700"/>
        <w:gridCol w:w="2100"/>
        <w:gridCol w:w="4160"/>
        <w:gridCol w:w="2400"/>
      </w:tblGrid>
      <w:tr>
        <w:trPr>
          <w:tblHeader/>
        </w:trPr>
        <w:tc>
          <w:tcPr>
            <w:tcW w:type="dxa" w:w="7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Phase</w:t>
            </w:r>
          </w:p>
        </w:tc>
        <w:tc>
          <w:tcPr>
            <w:tcW w:type="dxa" w:w="21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Intitulé</w:t>
            </w:r>
          </w:p>
        </w:tc>
        <w:tc>
          <w:tcPr>
            <w:tcW w:type="dxa" w:w="41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Contenu</w:t>
            </w:r>
          </w:p>
        </w:tc>
        <w:tc>
          <w:tcPr>
            <w:tcW w:type="dxa" w:w="24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Livrables</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P0</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Cadrage &amp; conception</w:t>
            </w:r>
          </w:p>
        </w:tc>
        <w:tc>
          <w:tcPr>
            <w:tcW w:type="dxa" w:w="4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Ateliers, architecture détaillée, choix technologiques, cartographie des flux</w:t>
            </w:r>
          </w:p>
        </w:tc>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Dossier d’architecture, plan de projet</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P1</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Socle &amp; capture</w:t>
            </w:r>
          </w:p>
        </w:tc>
        <w:tc>
          <w:tcPr>
            <w:tcW w:type="dxa" w:w="4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Déploiement des sondes, capture, observabilité de base</w:t>
            </w:r>
          </w:p>
        </w:tc>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Sondes opérationnelles, tableau de bord de flux</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P2</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Détection</w:t>
            </w:r>
          </w:p>
        </w:tc>
        <w:tc>
          <w:tcPr>
            <w:tcW w:type="dxa" w:w="4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Signatures, anomalies, threat intel, corrélation</w:t>
            </w:r>
          </w:p>
        </w:tc>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Moteurs de détection, matrice ATT&amp;CK</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P3</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Réponse &amp; QoS</w:t>
            </w:r>
          </w:p>
        </w:tc>
        <w:tc>
          <w:tcPr>
            <w:tcW w:type="dxa" w:w="4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Playbooks, connecteurs de blocage, gestion de trafic</w:t>
            </w:r>
          </w:p>
        </w:tc>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Module de réponse, connecteurs, garde-fous</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P4</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Industrialisation</w:t>
            </w:r>
          </w:p>
        </w:tc>
        <w:tc>
          <w:tcPr>
            <w:tcW w:type="dxa" w:w="4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Haute disponibilité, montée en charge, durcissement, conformité</w:t>
            </w:r>
          </w:p>
        </w:tc>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Environnement de production, dossier de sécurité</w:t>
            </w:r>
          </w:p>
        </w:tc>
      </w:tr>
      <w:tr>
        <w:tc>
          <w:tcPr>
            <w:tcW w:type="dxa" w:w="7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P5</w:t>
            </w:r>
          </w:p>
        </w:tc>
        <w:tc>
          <w:tcPr>
            <w:tcW w:type="dxa" w:w="21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Recette &amp; TdB</w:t>
            </w:r>
          </w:p>
        </w:tc>
        <w:tc>
          <w:tcPr>
            <w:tcW w:type="dxa" w:w="41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Tests fonctionnels, tests de charge, simulation d’attaques (red team)</w:t>
            </w:r>
          </w:p>
        </w:tc>
        <w:tc>
          <w:tcPr>
            <w:tcW w:type="dxa" w:w="2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PV de recette, rapport de tests</w:t>
            </w:r>
          </w:p>
        </w:tc>
      </w:tr>
      <w:tr>
        <w:tc>
          <w:tcPr>
            <w:tcW w:type="dxa" w:w="7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P6</w:t>
            </w:r>
          </w:p>
        </w:tc>
        <w:tc>
          <w:tcPr>
            <w:tcW w:type="dxa" w:w="21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Exploitation</w:t>
            </w:r>
          </w:p>
        </w:tc>
        <w:tc>
          <w:tcPr>
            <w:tcW w:type="dxa" w:w="41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Transfert de compétences, documentation, run</w:t>
            </w:r>
          </w:p>
        </w:tc>
        <w:tc>
          <w:tcPr>
            <w:tcW w:type="dxa" w:w="2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Documentation, formation, contrat de maintenance</w:t>
            </w:r>
          </w:p>
        </w:tc>
      </w:tr>
    </w:tbl>
    <w:p>
      <w:pPr>
        <w:pStyle w:val="Heading2"/>
        <w:spacing w:after="120" w:before="240"/>
      </w:pPr>
      <w:r>
        <w:rPr>
          <w:rFonts w:ascii="Calibri" w:cs="Calibri" w:eastAsia="Calibri" w:hAnsi="Calibri"/>
          <w:b/>
          <w:bCs/>
          <w:color w:val="13315C"/>
          <w:sz w:val="25"/>
          <w:szCs w:val="25"/>
        </w:rPr>
        <w:t xml:space="preserve">10.1 Livrables documentaires attendus</w:t>
      </w:r>
    </w:p>
    <w:p>
      <w:pPr>
        <w:pStyle w:val="ListParagraph"/>
        <w:numPr>
          <w:ilvl w:val="0"/>
          <w:numId w:val="1"/>
        </w:numPr>
        <w:spacing w:after="60" w:line="264"/>
      </w:pPr>
      <w:r>
        <w:rPr>
          <w:rFonts w:ascii="Calibri" w:cs="Calibri" w:eastAsia="Calibri" w:hAnsi="Calibri"/>
          <w:sz w:val="21"/>
          <w:szCs w:val="21"/>
        </w:rPr>
        <w:t xml:space="preserve">Dossier d’architecture technique et de sécurité.</w:t>
      </w:r>
    </w:p>
    <w:p>
      <w:pPr>
        <w:pStyle w:val="ListParagraph"/>
        <w:numPr>
          <w:ilvl w:val="0"/>
          <w:numId w:val="1"/>
        </w:numPr>
        <w:spacing w:after="60" w:line="264"/>
      </w:pPr>
      <w:r>
        <w:rPr>
          <w:rFonts w:ascii="Calibri" w:cs="Calibri" w:eastAsia="Calibri" w:hAnsi="Calibri"/>
          <w:sz w:val="21"/>
          <w:szCs w:val="21"/>
        </w:rPr>
        <w:t xml:space="preserve">Documentation d’installation, d’exploitation et d’administration.</w:t>
      </w:r>
    </w:p>
    <w:p>
      <w:pPr>
        <w:pStyle w:val="ListParagraph"/>
        <w:numPr>
          <w:ilvl w:val="0"/>
          <w:numId w:val="1"/>
        </w:numPr>
        <w:spacing w:after="60" w:line="264"/>
      </w:pPr>
      <w:r>
        <w:rPr>
          <w:rFonts w:ascii="Calibri" w:cs="Calibri" w:eastAsia="Calibri" w:hAnsi="Calibri"/>
          <w:sz w:val="21"/>
          <w:szCs w:val="21"/>
        </w:rPr>
        <w:t xml:space="preserve">Guide utilisateur par profil (analyste, admin réseau, RSSI).</w:t>
      </w:r>
    </w:p>
    <w:p>
      <w:pPr>
        <w:pStyle w:val="ListParagraph"/>
        <w:numPr>
          <w:ilvl w:val="0"/>
          <w:numId w:val="1"/>
        </w:numPr>
        <w:spacing w:after="60" w:line="264"/>
      </w:pPr>
      <w:r>
        <w:rPr>
          <w:rFonts w:ascii="Calibri" w:cs="Calibri" w:eastAsia="Calibri" w:hAnsi="Calibri"/>
          <w:sz w:val="21"/>
          <w:szCs w:val="21"/>
        </w:rPr>
        <w:t xml:space="preserve">Matrice de couverture MITRE ATT&amp;CK.</w:t>
      </w:r>
    </w:p>
    <w:p>
      <w:pPr>
        <w:pStyle w:val="ListParagraph"/>
        <w:numPr>
          <w:ilvl w:val="0"/>
          <w:numId w:val="1"/>
        </w:numPr>
        <w:spacing w:after="60" w:line="264"/>
      </w:pPr>
      <w:r>
        <w:rPr>
          <w:rFonts w:ascii="Calibri" w:cs="Calibri" w:eastAsia="Calibri" w:hAnsi="Calibri"/>
          <w:sz w:val="21"/>
          <w:szCs w:val="21"/>
        </w:rPr>
        <w:t xml:space="preserve">Plan de reprise/continuité et procédures de sauvegarde.</w:t>
      </w:r>
    </w:p>
    <w:p>
      <w:pPr>
        <w:pStyle w:val="ListParagraph"/>
        <w:numPr>
          <w:ilvl w:val="0"/>
          <w:numId w:val="1"/>
        </w:numPr>
        <w:spacing w:after="60" w:line="264"/>
      </w:pPr>
      <w:r>
        <w:rPr>
          <w:rFonts w:ascii="Calibri" w:cs="Calibri" w:eastAsia="Calibri" w:hAnsi="Calibri"/>
          <w:sz w:val="21"/>
          <w:szCs w:val="21"/>
        </w:rPr>
        <w:t xml:space="preserve">Registre de conformité (RGPD, rétention, accès).</w:t>
      </w:r>
    </w:p>
    <w:p>
      <w:r>
        <w:br w:type="page"/>
      </w:r>
    </w:p>
    <w:p>
      <w:pPr>
        <w:pStyle w:val="Heading1"/>
        <w:spacing w:after="160" w:before="320"/>
      </w:pPr>
      <w:r>
        <w:rPr>
          <w:rFonts w:ascii="Calibri" w:cs="Calibri" w:eastAsia="Calibri" w:hAnsi="Calibri"/>
          <w:b/>
          <w:bCs/>
          <w:color w:val="0B2545"/>
          <w:sz w:val="30"/>
          <w:szCs w:val="30"/>
        </w:rPr>
        <w:t xml:space="preserve">11. Critères de recette et indicateurs de succès</w:t>
      </w:r>
    </w:p>
    <w:p>
      <w:pPr>
        <w:spacing w:after="120" w:line="276"/>
      </w:pPr>
      <w:r>
        <w:rPr>
          <w:rFonts w:ascii="Calibri" w:cs="Calibri" w:eastAsia="Calibri" w:hAnsi="Calibri"/>
        </w:rPr>
        <w:t xml:space="preserve">La solution est réputée conforme si l’ensemble des critères ci-dessous sont satisfaits lors de la recette, tests de charge et simulation d’attaques inclus.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900"/>
        <w:gridCol w:w="5060"/>
        <w:gridCol w:w="3400"/>
      </w:tblGrid>
      <w:tr>
        <w:trPr>
          <w:tblHeader/>
        </w:trPr>
        <w:tc>
          <w:tcPr>
            <w:tcW w:type="dxa" w:w="9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Réf.</w:t>
            </w:r>
          </w:p>
        </w:tc>
        <w:tc>
          <w:tcPr>
            <w:tcW w:type="dxa" w:w="506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Critère de recette</w:t>
            </w:r>
          </w:p>
        </w:tc>
        <w:tc>
          <w:tcPr>
            <w:tcW w:type="dxa" w:w="34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Seuil d’acceptation</w:t>
            </w:r>
          </w:p>
        </w:tc>
      </w:tr>
      <w:tr>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R1</w:t>
            </w:r>
          </w:p>
        </w:tc>
        <w:tc>
          <w:tcPr>
            <w:tcW w:type="dxa" w:w="50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Taux de capture du trafic sur segments supervisés</w:t>
            </w:r>
          </w:p>
        </w:tc>
        <w:tc>
          <w:tcPr>
            <w:tcW w:type="dxa" w:w="3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99,9 %</w:t>
            </w:r>
          </w:p>
        </w:tc>
      </w:tr>
      <w:tr>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R2</w:t>
            </w:r>
          </w:p>
        </w:tc>
        <w:tc>
          <w:tcPr>
            <w:tcW w:type="dxa" w:w="50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Détection des scénarios d’attaque du plan de test</w:t>
            </w:r>
          </w:p>
        </w:tc>
        <w:tc>
          <w:tcPr>
            <w:tcW w:type="dxa" w:w="3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100 % des scénarios critiques détectés</w:t>
            </w:r>
          </w:p>
        </w:tc>
      </w:tr>
      <w:tr>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R3</w:t>
            </w:r>
          </w:p>
        </w:tc>
        <w:tc>
          <w:tcPr>
            <w:tcW w:type="dxa" w:w="50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Temps moyen de détection (MTTD)</w:t>
            </w:r>
          </w:p>
        </w:tc>
        <w:tc>
          <w:tcPr>
            <w:tcW w:type="dxa" w:w="3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60 s (signatures), &lt; 5 min (anomalies)</w:t>
            </w:r>
          </w:p>
        </w:tc>
      </w:tr>
      <w:tr>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R4</w:t>
            </w:r>
          </w:p>
        </w:tc>
        <w:tc>
          <w:tcPr>
            <w:tcW w:type="dxa" w:w="50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Temps moyen de réponse automatisée (MTTR)</w:t>
            </w:r>
          </w:p>
        </w:tc>
        <w:tc>
          <w:tcPr>
            <w:tcW w:type="dxa" w:w="3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2 min sur incident critique</w:t>
            </w:r>
          </w:p>
        </w:tc>
      </w:tr>
      <w:tr>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R5</w:t>
            </w:r>
          </w:p>
        </w:tc>
        <w:tc>
          <w:tcPr>
            <w:tcW w:type="dxa" w:w="50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Taux de faux positifs après tuning</w:t>
            </w:r>
          </w:p>
        </w:tc>
        <w:tc>
          <w:tcPr>
            <w:tcW w:type="dxa" w:w="3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2 %</w:t>
            </w:r>
          </w:p>
        </w:tc>
      </w:tr>
      <w:tr>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R6</w:t>
            </w:r>
          </w:p>
        </w:tc>
        <w:tc>
          <w:tcPr>
            <w:tcW w:type="dxa" w:w="50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Latence ajoutée en mode coupure</w:t>
            </w:r>
          </w:p>
        </w:tc>
        <w:tc>
          <w:tcPr>
            <w:tcW w:type="dxa" w:w="3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1 ms</w:t>
            </w:r>
          </w:p>
        </w:tc>
      </w:tr>
      <w:tr>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R7</w:t>
            </w:r>
          </w:p>
        </w:tc>
        <w:tc>
          <w:tcPr>
            <w:tcW w:type="dxa" w:w="50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Absence de perte de paquets en coupure</w:t>
            </w:r>
          </w:p>
        </w:tc>
        <w:tc>
          <w:tcPr>
            <w:tcW w:type="dxa" w:w="3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&lt; 0,01 %</w:t>
            </w:r>
          </w:p>
        </w:tc>
      </w:tr>
      <w:tr>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R8</w:t>
            </w:r>
          </w:p>
        </w:tc>
        <w:tc>
          <w:tcPr>
            <w:tcW w:type="dxa" w:w="50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Couverture MITRE ATT&amp;CK pertinente</w:t>
            </w:r>
          </w:p>
        </w:tc>
        <w:tc>
          <w:tcPr>
            <w:tcW w:type="dxa" w:w="3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90 %</w:t>
            </w:r>
          </w:p>
        </w:tc>
      </w:tr>
      <w:tr>
        <w:tc>
          <w:tcPr>
            <w:tcW w:type="dxa" w:w="9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R9</w:t>
            </w:r>
          </w:p>
        </w:tc>
        <w:tc>
          <w:tcPr>
            <w:tcW w:type="dxa" w:w="506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Disponibilité de la plateforme sur période de test</w:t>
            </w:r>
          </w:p>
        </w:tc>
        <w:tc>
          <w:tcPr>
            <w:tcW w:type="dxa" w:w="34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 99,9 %</w:t>
            </w:r>
          </w:p>
        </w:tc>
      </w:tr>
      <w:tr>
        <w:tc>
          <w:tcPr>
            <w:tcW w:type="dxa" w:w="9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R10</w:t>
            </w:r>
          </w:p>
        </w:tc>
        <w:tc>
          <w:tcPr>
            <w:tcW w:type="dxa" w:w="506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Traçabilité et conformité des journaux</w:t>
            </w:r>
          </w:p>
        </w:tc>
        <w:tc>
          <w:tcPr>
            <w:tcW w:type="dxa" w:w="34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100 % des événements horodatés et conservés</w:t>
            </w:r>
          </w:p>
        </w:tc>
      </w:tr>
    </w:tbl>
    <w:p>
      <w:pPr>
        <w:pStyle w:val="Heading2"/>
        <w:spacing w:after="120" w:before="240"/>
      </w:pPr>
      <w:r>
        <w:rPr>
          <w:rFonts w:ascii="Calibri" w:cs="Calibri" w:eastAsia="Calibri" w:hAnsi="Calibri"/>
          <w:b/>
          <w:bCs/>
          <w:color w:val="13315C"/>
          <w:sz w:val="25"/>
          <w:szCs w:val="25"/>
        </w:rPr>
        <w:t xml:space="preserve">11.1 Simulation d’attaques (validation par la preuve)</w:t>
      </w:r>
    </w:p>
    <w:p>
      <w:pPr>
        <w:spacing w:after="120" w:line="276"/>
      </w:pPr>
      <w:r>
        <w:rPr>
          <w:rFonts w:ascii="Calibri" w:cs="Calibri" w:eastAsia="Calibri" w:hAnsi="Calibri"/>
        </w:rPr>
        <w:t xml:space="preserve">La recette de sécurité inclut une campagne de tests offensifs contrôlés (red team / purple team) couvrant chaque famille du chapitre 5 : reconnaissance, DoS/DDoS, MITM, force brute, exploitation, malware, C2, mouvement latéral et exfiltration. Chaque scénario doit être détecté, qualifié, et — sur les segments en coupure — bloqué, avec production automatique de la chronologie de l’incident.</w:t>
      </w:r>
    </w:p>
    <w:p>
      <w:r>
        <w:br w:type="page"/>
      </w:r>
    </w:p>
    <w:p>
      <w:pPr>
        <w:pStyle w:val="Heading1"/>
        <w:spacing w:after="160" w:before="320"/>
      </w:pPr>
      <w:r>
        <w:rPr>
          <w:rFonts w:ascii="Calibri" w:cs="Calibri" w:eastAsia="Calibri" w:hAnsi="Calibri"/>
          <w:b/>
          <w:bCs/>
          <w:color w:val="0B2545"/>
          <w:sz w:val="30"/>
          <w:szCs w:val="30"/>
        </w:rPr>
        <w:t xml:space="preserve">Annexe A — Récapitulatif des priorités</w:t>
      </w:r>
    </w:p>
    <w:tbl>
      <w:tblPr>
        <w:tblW w:type="dxa" w:w="9360"/>
        <w:tblBorders>
          <w:top w:val="single" w:color="C7D2DE" w:sz="4"/>
          <w:left w:val="single" w:color="C7D2DE" w:sz="4"/>
          <w:bottom w:val="single" w:color="C7D2DE" w:sz="4"/>
          <w:right w:val="single" w:color="C7D2DE" w:sz="4"/>
          <w:insideH w:val="single" w:color="C7D2DE" w:sz="2"/>
          <w:insideV w:val="single" w:color="C7D2DE" w:sz="2"/>
        </w:tblBorders>
      </w:tblPr>
      <w:tblGrid>
        <w:gridCol w:w="2600"/>
        <w:gridCol w:w="3380"/>
        <w:gridCol w:w="3380"/>
      </w:tblGrid>
      <w:tr>
        <w:trPr>
          <w:tblHeader/>
        </w:trPr>
        <w:tc>
          <w:tcPr>
            <w:tcW w:type="dxa" w:w="260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Priorité (MoSCoW)</w:t>
            </w:r>
          </w:p>
        </w:tc>
        <w:tc>
          <w:tcPr>
            <w:tcW w:type="dxa" w:w="338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Signification</w:t>
            </w:r>
          </w:p>
        </w:tc>
        <w:tc>
          <w:tcPr>
            <w:tcW w:type="dxa" w:w="3380"/>
            <w:shd w:fill="0B2545" w:val="clear"/>
            <w:tcMar>
              <w:top w:type="dxa" w:w="60"/>
              <w:left w:type="dxa" w:w="90"/>
              <w:bottom w:type="dxa" w:w="60"/>
              <w:right w:type="dxa" w:w="90"/>
            </w:tcMar>
          </w:tcPr>
          <w:p>
            <w:pPr>
              <w:spacing w:after="0" w:line="252"/>
            </w:pPr>
            <w:r>
              <w:rPr>
                <w:rFonts w:ascii="Calibri" w:cs="Calibri" w:eastAsia="Calibri" w:hAnsi="Calibri"/>
                <w:b/>
                <w:bCs/>
                <w:color w:val="FFFFFF"/>
                <w:sz w:val="20"/>
                <w:szCs w:val="20"/>
              </w:rPr>
              <w:t xml:space="preserve">Traitement</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M — Must</w:t>
            </w:r>
          </w:p>
        </w:tc>
        <w:tc>
          <w:tcPr>
            <w:tcW w:type="dxa" w:w="338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Indispensable au fonctionnement et à la valeur cible</w:t>
            </w:r>
          </w:p>
        </w:tc>
        <w:tc>
          <w:tcPr>
            <w:tcW w:type="dxa" w:w="338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Obligatoire pour la mise en production</w:t>
            </w:r>
          </w:p>
        </w:tc>
      </w:tr>
      <w:tr>
        <w:tc>
          <w:tcPr>
            <w:tcW w:type="dxa" w:w="260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 — Should</w:t>
            </w:r>
          </w:p>
        </w:tc>
        <w:tc>
          <w:tcPr>
            <w:tcW w:type="dxa" w:w="338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Forte valeur, contournement possible à court terme</w:t>
            </w:r>
          </w:p>
        </w:tc>
        <w:tc>
          <w:tcPr>
            <w:tcW w:type="dxa" w:w="3380"/>
            <w:shd w:fill="F6F9FC"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Planifié sur les premières itérations</w:t>
            </w:r>
          </w:p>
        </w:tc>
      </w:tr>
      <w:tr>
        <w:tc>
          <w:tcPr>
            <w:tcW w:type="dxa" w:w="260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 — Could</w:t>
            </w:r>
          </w:p>
        </w:tc>
        <w:tc>
          <w:tcPr>
            <w:tcW w:type="dxa" w:w="338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Confort, valeur additionnelle</w:t>
            </w:r>
          </w:p>
        </w:tc>
        <w:tc>
          <w:tcPr>
            <w:tcW w:type="dxa" w:w="3380"/>
            <w:shd w:fill="FFFFFF" w:val="clear"/>
            <w:tcMar>
              <w:top w:type="dxa" w:w="60"/>
              <w:left w:type="dxa" w:w="90"/>
              <w:bottom w:type="dxa" w:w="60"/>
              <w:right w:type="dxa" w:w="90"/>
            </w:tcMar>
          </w:tcPr>
          <w:p>
            <w:pPr>
              <w:spacing w:after="0" w:line="252"/>
            </w:pPr>
            <w:r>
              <w:rPr>
                <w:rFonts w:ascii="Calibri" w:cs="Calibri" w:eastAsia="Calibri" w:hAnsi="Calibri"/>
                <w:b w:val="false"/>
                <w:bCs w:val="false"/>
                <w:color w:val="3A3F46"/>
                <w:sz w:val="20"/>
                <w:szCs w:val="20"/>
              </w:rPr>
              <w:t xml:space="preserve">Selon budget et calendrier</w:t>
            </w:r>
          </w:p>
        </w:tc>
      </w:tr>
    </w:tbl>
    <w:p>
      <w:pPr>
        <w:pStyle w:val="Heading2"/>
        <w:spacing w:after="120" w:before="240"/>
      </w:pPr>
      <w:r>
        <w:rPr>
          <w:rFonts w:ascii="Calibri" w:cs="Calibri" w:eastAsia="Calibri" w:hAnsi="Calibri"/>
          <w:b/>
          <w:bCs/>
          <w:color w:val="13315C"/>
          <w:sz w:val="25"/>
          <w:szCs w:val="25"/>
        </w:rPr>
        <w:t xml:space="preserve">Annexe B — Nom de l’application</w:t>
      </w:r>
    </w:p>
    <w:p>
      <w:pPr>
        <w:spacing w:after="120" w:line="276"/>
      </w:pPr>
      <w:r>
        <w:rPr>
          <w:rFonts w:ascii="Calibri" w:cs="Calibri" w:eastAsia="Calibri" w:hAnsi="Calibri"/>
        </w:rPr>
        <w:t xml:space="preserve">Le nom retenu pour l’application est SentiNet, contraction de « sentinelle » et « network / net ». Il évoque directement la fonction de la solution : une sentinelle en veille permanente sur le réseau, qui surveille, alerte et protège.</w:t>
      </w:r>
    </w:p>
    <w:p>
      <w:pPr>
        <w:pStyle w:val="ListParagraph"/>
        <w:numPr>
          <w:ilvl w:val="0"/>
          <w:numId w:val="1"/>
        </w:numPr>
        <w:spacing w:after="60" w:line="264"/>
      </w:pPr>
      <w:r>
        <w:rPr>
          <w:rFonts w:ascii="Calibri" w:cs="Calibri" w:eastAsia="Calibri" w:hAnsi="Calibri"/>
          <w:b/>
          <w:bCs/>
        </w:rPr>
        <w:t xml:space="preserve">SentiNet</w:t>
      </w:r>
      <w:r>
        <w:rPr>
          <w:rFonts w:ascii="Calibri" w:cs="Calibri" w:eastAsia="Calibri" w:hAnsi="Calibri"/>
        </w:rPr>
        <w:t xml:space="preserve"> — nom retenu (sentinelle + réseau).</w:t>
      </w:r>
    </w:p>
    <w:p>
      <w:pPr>
        <w:pStyle w:val="ListParagraph"/>
        <w:numPr>
          <w:ilvl w:val="0"/>
          <w:numId w:val="1"/>
        </w:numPr>
        <w:spacing w:after="60" w:line="264"/>
      </w:pPr>
      <w:r>
        <w:rPr>
          <w:rFonts w:ascii="Calibri" w:cs="Calibri" w:eastAsia="Calibri" w:hAnsi="Calibri"/>
        </w:rPr>
        <w:t xml:space="preserve">Autres pistes envisagées : </w:t>
      </w:r>
      <w:r>
        <w:rPr>
          <w:rFonts w:ascii="Calibri" w:cs="Calibri" w:eastAsia="Calibri" w:hAnsi="Calibri"/>
          <w:i/>
          <w:iCs/>
        </w:rPr>
        <w:t xml:space="preserve">VIGIENET, ARGUS, NETWATCH.</w:t>
      </w:r>
    </w:p>
    <w:p>
      <w:pPr>
        <w:spacing w:after="200"/>
      </w:pPr>
      <w:r>
        <w:rPr>
          <w:rFonts w:ascii="Calibri" w:cs="Calibri" w:eastAsia="Calibri" w:hAnsi="Calibri"/>
        </w:rPr>
        <w:t xml:space="preserve"/>
      </w:r>
    </w:p>
    <w:p>
      <w:pPr>
        <w:spacing w:before="240"/>
        <w:jc w:val="center"/>
      </w:pPr>
      <w:r>
        <w:rPr>
          <w:rFonts w:ascii="Calibri" w:cs="Calibri" w:eastAsia="Calibri" w:hAnsi="Calibri"/>
          <w:i/>
          <w:iCs/>
          <w:color w:val="3A3F46"/>
          <w:sz w:val="20"/>
          <w:szCs w:val="20"/>
        </w:rPr>
        <w:t xml:space="preserve">— Fin du cahier des charges —</w:t>
      </w:r>
    </w:p>
    <w:sectPr>
      <w:headerReference w:type="default" r:id="rId7"/>
      <w:footerReference w:type="default" r:id="rId8"/>
      <w:pgSz w:w="11906" w:h="16838" w:orient="portrait"/>
      <w:pgMar w:top="1200" w:right="1274" w:bottom="1200" w:left="127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E" w:sz="4" w:space="6"/>
      </w:pBdr>
      <w:tabs>
        <w:tab w:val="center" w:pos="4680"/>
        <w:tab w:val="right" w:pos="9360"/>
      </w:tabs>
    </w:pPr>
    <w:r>
      <w:rPr>
        <w:rFonts w:ascii="Calibri" w:cs="Calibri" w:eastAsia="Calibri" w:hAnsi="Calibri"/>
        <w:color w:val="3A3F46"/>
        <w:sz w:val="15"/>
        <w:szCs w:val="15"/>
      </w:rPr>
      <w:t xml:space="preserve">Diffusion restreinte — Interne</w:t>
    </w:r>
    <w:r>
      <w:rPr>
        <w:rFonts w:ascii="Calibri" w:cs="Calibri" w:eastAsia="Calibri" w:hAnsi="Calibri"/>
        <w:color w:val="3A3F46"/>
        <w:sz w:val="15"/>
        <w:szCs w:val="15"/>
      </w:rPr>
      <w:t xml:space="preserve">	v1.0 — Juillet 2026</w:t>
    </w:r>
    <w:r>
      <w:rPr>
        <w:rFonts w:ascii="Calibri" w:cs="Calibri" w:eastAsia="Calibri" w:hAnsi="Calibri"/>
        <w:color w:val="3A3F46"/>
        <w:sz w:val="15"/>
        <w:szCs w:val="15"/>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E" w:sz="4" w:space="6"/>
      </w:pBdr>
      <w:tabs>
        <w:tab w:val="right" w:pos="9360"/>
      </w:tabs>
    </w:pPr>
    <w:r>
      <w:rPr>
        <w:rFonts w:ascii="Calibri" w:cs="Calibri" w:eastAsia="Calibri" w:hAnsi="Calibri"/>
        <w:color w:val="1B6CA8"/>
        <w:sz w:val="16"/>
        <w:szCs w:val="16"/>
      </w:rPr>
      <w:t xml:space="preserve">Cahier des charges — SentiNet</w:t>
    </w:r>
    <w:r>
      <w:rPr>
        <w:rFonts w:ascii="Calibri" w:cs="Calibri" w:eastAsia="Calibri" w:hAnsi="Calibri"/>
        <w:color w:val="3A3F46"/>
        <w:sz w:val="16"/>
        <w:szCs w:val="16"/>
      </w:rPr>
      <w:t xml:space="preserve">	Supervision &amp; sécurisation du trafic réseau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F4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2545"/>
      <w:sz w:val="30"/>
      <w:szCs w:val="30"/>
    </w:rPr>
  </w:style>
  <w:style w:type="paragraph" w:styleId="Heading2">
    <w:name w:val="Heading 2"/>
    <w:basedOn w:val="Normal"/>
    <w:next w:val="Normal"/>
    <w:qFormat/>
    <w:rPr>
      <w:rFonts w:ascii="Calibri" w:cs="Calibri" w:eastAsia="Calibri" w:hAnsi="Calibri"/>
      <w:b/>
      <w:bCs/>
      <w:color w:val="13315C"/>
      <w:sz w:val="25"/>
      <w:szCs w:val="25"/>
    </w:rPr>
  </w:style>
  <w:style w:type="paragraph" w:styleId="Heading3">
    <w:name w:val="Heading 3"/>
    <w:basedOn w:val="Normal"/>
    <w:next w:val="Normal"/>
    <w:qFormat/>
    <w:rPr>
      <w:rFonts w:ascii="Calibri" w:cs="Calibri" w:eastAsia="Calibri" w:hAnsi="Calibri"/>
      <w:b/>
      <w:bCs/>
      <w:color w:val="1B6C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de supervision et sécurisation du trafic réseau</dc:title>
  <dc:creator>SentiNet</dc:creator>
  <dc:description>Cahier des charges fonctionnel et technique</dc:description>
  <cp:lastModifiedBy>Un-named</cp:lastModifiedBy>
  <cp:revision>1</cp:revision>
  <dcterms:created xsi:type="dcterms:W3CDTF">2026-07-02T16:51:06.428Z</dcterms:created>
  <dcterms:modified xsi:type="dcterms:W3CDTF">2026-07-02T16:51:06.428Z</dcterms:modified>
</cp:coreProperties>
</file>

<file path=docProps/custom.xml><?xml version="1.0" encoding="utf-8"?>
<Properties xmlns="http://schemas.openxmlformats.org/officeDocument/2006/custom-properties" xmlns:vt="http://schemas.openxmlformats.org/officeDocument/2006/docPropsVTypes"/>
</file>