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50"/>
          <w:szCs w:val="50"/>
          <w:lang w:val="en"/>
        </w:rPr>
      </w:pPr>
      <w:r>
        <w:rPr>
          <w:rFonts w:hint="default"/>
          <w:sz w:val="50"/>
          <w:szCs w:val="50"/>
          <w:lang w:val="en"/>
        </w:rPr>
        <w:t>History :</w:t>
      </w:r>
    </w:p>
    <w:tbl>
      <w:tblPr>
        <w:tblStyle w:val="4"/>
        <w:tblpPr w:leftFromText="180" w:rightFromText="180" w:vertAnchor="text" w:horzAnchor="page" w:tblpX="697" w:tblpY="608"/>
        <w:tblOverlap w:val="never"/>
        <w:tblW w:w="108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99"/>
        <w:gridCol w:w="51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9" w:hRule="atLeast"/>
        </w:trPr>
        <w:tc>
          <w:tcPr>
            <w:tcW w:w="5699" w:type="dxa"/>
            <w:shd w:val="clear" w:color="auto" w:fill="92D050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50"/>
                <w:szCs w:val="50"/>
                <w:vertAlign w:val="baseline"/>
                <w:lang w:val="en"/>
              </w:rPr>
            </w:pPr>
            <w:r>
              <w:rPr>
                <w:rFonts w:hint="default"/>
                <w:sz w:val="50"/>
                <w:szCs w:val="50"/>
                <w:vertAlign w:val="baseline"/>
                <w:lang w:val="en"/>
              </w:rPr>
              <w:t>Objective</w:t>
            </w:r>
          </w:p>
        </w:tc>
        <w:tc>
          <w:tcPr>
            <w:tcW w:w="5180" w:type="dxa"/>
            <w:shd w:val="clear" w:color="auto" w:fill="92D050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50"/>
                <w:szCs w:val="50"/>
                <w:vertAlign w:val="baseline"/>
                <w:lang w:val="en"/>
              </w:rPr>
            </w:pPr>
            <w:r>
              <w:rPr>
                <w:rFonts w:hint="default"/>
                <w:sz w:val="50"/>
                <w:szCs w:val="50"/>
                <w:vertAlign w:val="baseline"/>
                <w:lang w:val="en"/>
              </w:rPr>
              <w:t>Data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4" w:hRule="atLeast"/>
        </w:trPr>
        <w:tc>
          <w:tcPr>
            <w:tcW w:w="5699" w:type="dxa"/>
            <w:shd w:val="clear" w:color="auto" w:fill="E7E6E6" w:themeFill="background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40"/>
                <w:szCs w:val="40"/>
                <w:vertAlign w:val="baseline"/>
                <w:lang w:val="en"/>
              </w:rPr>
            </w:pPr>
            <w:r>
              <w:rPr>
                <w:rFonts w:hint="default"/>
                <w:sz w:val="40"/>
                <w:szCs w:val="40"/>
                <w:vertAlign w:val="baseline"/>
                <w:lang w:val="en"/>
              </w:rPr>
              <w:t>Personal Data</w:t>
            </w:r>
          </w:p>
        </w:tc>
        <w:tc>
          <w:tcPr>
            <w:tcW w:w="5180" w:type="dxa"/>
            <w:shd w:val="clear" w:color="auto" w:fill="F1F1F1" w:themeFill="background1" w:themeFillShade="F2"/>
          </w:tcPr>
          <w:p>
            <w:pPr>
              <w:widowControl w:val="0"/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Name</w:t>
            </w:r>
          </w:p>
          <w:p>
            <w:pPr>
              <w:widowControl w:val="0"/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Age</w:t>
            </w:r>
          </w:p>
          <w:p>
            <w:pPr>
              <w:widowControl w:val="0"/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Menstural Cycle</w:t>
            </w:r>
          </w:p>
          <w:p>
            <w:pPr>
              <w:widowControl w:val="0"/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Marital status</w:t>
            </w:r>
          </w:p>
          <w:p>
            <w:pPr>
              <w:widowControl w:val="0"/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Number of children</w:t>
            </w:r>
          </w:p>
          <w:p>
            <w:pPr>
              <w:widowControl w:val="0"/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Residency (areas with iodine deficiency).</w:t>
            </w:r>
          </w:p>
          <w:p>
            <w:pPr>
              <w:widowControl w:val="0"/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Occupation</w:t>
            </w:r>
          </w:p>
          <w:p>
            <w:pPr>
              <w:widowControl w:val="0"/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Special habits</w:t>
            </w:r>
          </w:p>
          <w:p>
            <w:pPr>
              <w:widowControl w:val="0"/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Chronic diseases.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5" w:hRule="atLeast"/>
        </w:trPr>
        <w:tc>
          <w:tcPr>
            <w:tcW w:w="5699" w:type="dxa"/>
            <w:shd w:val="clear" w:color="auto" w:fill="E7E6E6" w:themeFill="background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40"/>
                <w:szCs w:val="40"/>
                <w:vertAlign w:val="baseline"/>
                <w:lang w:val="en"/>
              </w:rPr>
            </w:pPr>
            <w:r>
              <w:rPr>
                <w:rFonts w:hint="default"/>
                <w:sz w:val="40"/>
                <w:szCs w:val="40"/>
                <w:vertAlign w:val="baseline"/>
                <w:lang w:val="en"/>
              </w:rPr>
              <w:t>Chief complaint</w:t>
            </w:r>
          </w:p>
        </w:tc>
        <w:tc>
          <w:tcPr>
            <w:tcW w:w="5180" w:type="dxa"/>
            <w:shd w:val="clear" w:color="auto" w:fill="F1F1F1" w:themeFill="background1" w:themeFillShade="F2"/>
          </w:tcPr>
          <w:p>
            <w:pPr>
              <w:widowControl w:val="0"/>
              <w:numPr>
                <w:ilvl w:val="0"/>
                <w:numId w:val="2"/>
              </w:numPr>
              <w:ind w:left="418" w:leftChars="0" w:hanging="418" w:firstLineChars="0"/>
              <w:jc w:val="both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Neck Swelling</w:t>
            </w:r>
          </w:p>
          <w:p>
            <w:pPr>
              <w:widowControl w:val="0"/>
              <w:numPr>
                <w:ilvl w:val="0"/>
                <w:numId w:val="2"/>
              </w:numPr>
              <w:ind w:left="418" w:leftChars="0" w:hanging="418" w:firstLineChars="0"/>
              <w:jc w:val="both"/>
              <w:rPr>
                <w:rFonts w:hint="default"/>
                <w:sz w:val="40"/>
                <w:szCs w:val="4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Neck Pain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5699" w:type="dxa"/>
            <w:shd w:val="clear" w:color="auto" w:fill="E7E6E6" w:themeFill="background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40"/>
                <w:szCs w:val="40"/>
                <w:vertAlign w:val="baseline"/>
                <w:lang w:val="en"/>
              </w:rPr>
            </w:pPr>
            <w:r>
              <w:rPr>
                <w:rFonts w:hint="default"/>
                <w:sz w:val="40"/>
                <w:szCs w:val="40"/>
                <w:vertAlign w:val="baseline"/>
                <w:lang w:val="en"/>
              </w:rPr>
              <w:t>Present History</w:t>
            </w:r>
          </w:p>
        </w:tc>
        <w:tc>
          <w:tcPr>
            <w:tcW w:w="5180" w:type="dxa"/>
            <w:shd w:val="clear" w:color="auto" w:fill="F1F1F1" w:themeFill="background1" w:themeFillShade="F2"/>
          </w:tcPr>
          <w:p>
            <w:pPr>
              <w:widowControl w:val="0"/>
              <w:numPr>
                <w:ilvl w:val="0"/>
                <w:numId w:val="3"/>
              </w:numPr>
              <w:ind w:left="420" w:leftChars="0" w:hanging="420" w:firstLineChars="0"/>
              <w:jc w:val="left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Analysis of complaint</w:t>
            </w:r>
          </w:p>
          <w:p>
            <w:pPr>
              <w:widowControl w:val="0"/>
              <w:numPr>
                <w:ilvl w:val="0"/>
                <w:numId w:val="3"/>
              </w:numPr>
              <w:ind w:left="420" w:leftChars="0" w:hanging="420" w:firstLineChars="0"/>
              <w:jc w:val="left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Associated symptoms</w:t>
            </w:r>
          </w:p>
          <w:p>
            <w:pPr>
              <w:widowControl w:val="0"/>
              <w:numPr>
                <w:ilvl w:val="0"/>
                <w:numId w:val="3"/>
              </w:numPr>
              <w:ind w:left="420" w:leftChars="0" w:hanging="420" w:firstLineChars="0"/>
              <w:jc w:val="left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 xml:space="preserve">History suggesting </w:t>
            </w:r>
            <w:r>
              <w:rPr>
                <w:rFonts w:hint="default"/>
                <w:b/>
                <w:bCs/>
                <w:sz w:val="30"/>
                <w:szCs w:val="30"/>
                <w:vertAlign w:val="baseline"/>
                <w:lang w:val="en"/>
              </w:rPr>
              <w:t>hypothyroidism.</w:t>
            </w:r>
          </w:p>
          <w:p>
            <w:pPr>
              <w:widowControl w:val="0"/>
              <w:numPr>
                <w:ilvl w:val="0"/>
                <w:numId w:val="3"/>
              </w:numPr>
              <w:ind w:left="420" w:leftChars="0" w:hanging="420" w:firstLineChars="0"/>
              <w:jc w:val="left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b w:val="0"/>
                <w:bCs w:val="0"/>
                <w:sz w:val="30"/>
                <w:szCs w:val="30"/>
                <w:vertAlign w:val="baseline"/>
                <w:lang w:val="en"/>
              </w:rPr>
              <w:t xml:space="preserve">History suggesting </w:t>
            </w:r>
            <w:r>
              <w:rPr>
                <w:rFonts w:hint="default"/>
                <w:b/>
                <w:bCs/>
                <w:sz w:val="30"/>
                <w:szCs w:val="30"/>
                <w:vertAlign w:val="baseline"/>
                <w:lang w:val="en"/>
              </w:rPr>
              <w:t>hyperthyroidism</w:t>
            </w:r>
            <w:r>
              <w:rPr>
                <w:rFonts w:hint="default"/>
                <w:b w:val="0"/>
                <w:bCs w:val="0"/>
                <w:sz w:val="30"/>
                <w:szCs w:val="30"/>
                <w:vertAlign w:val="baseline"/>
                <w:lang w:val="en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13" w:hRule="atLeast"/>
        </w:trPr>
        <w:tc>
          <w:tcPr>
            <w:tcW w:w="5699" w:type="dxa"/>
            <w:shd w:val="clear" w:color="auto" w:fill="E7E6E6" w:themeFill="background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40"/>
                <w:szCs w:val="40"/>
                <w:vertAlign w:val="baseline"/>
                <w:lang w:val="en"/>
              </w:rPr>
            </w:pPr>
            <w:r>
              <w:rPr>
                <w:rFonts w:hint="default"/>
                <w:sz w:val="40"/>
                <w:szCs w:val="40"/>
                <w:vertAlign w:val="baseline"/>
                <w:lang w:val="en"/>
              </w:rPr>
              <w:t>Past History</w:t>
            </w:r>
          </w:p>
        </w:tc>
        <w:tc>
          <w:tcPr>
            <w:tcW w:w="5180" w:type="dxa"/>
            <w:shd w:val="clear" w:color="auto" w:fill="F1F1F1" w:themeFill="background1" w:themeFillShade="F2"/>
          </w:tcPr>
          <w:p>
            <w:pPr>
              <w:widowControl w:val="0"/>
              <w:numPr>
                <w:ilvl w:val="0"/>
                <w:numId w:val="3"/>
              </w:numPr>
              <w:ind w:left="420" w:leftChars="0" w:hanging="420" w:firstLineChars="0"/>
              <w:jc w:val="left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Neck radiation exposure.</w:t>
            </w:r>
          </w:p>
          <w:p>
            <w:pPr>
              <w:widowControl w:val="0"/>
              <w:numPr>
                <w:ilvl w:val="0"/>
                <w:numId w:val="3"/>
              </w:numPr>
              <w:ind w:left="420" w:leftChars="0" w:hanging="420" w:firstLineChars="0"/>
              <w:jc w:val="left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Recent pregnancy (postpartum thyroiditis).</w:t>
            </w:r>
          </w:p>
          <w:p>
            <w:pPr>
              <w:widowControl w:val="0"/>
              <w:numPr>
                <w:ilvl w:val="0"/>
                <w:numId w:val="3"/>
              </w:numPr>
              <w:ind w:left="420" w:leftChars="0" w:hanging="420" w:firstLineChars="0"/>
              <w:jc w:val="left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History of hyperprolacinemia or breast feeding (feedback inhibition on TSH).</w:t>
            </w:r>
          </w:p>
          <w:p>
            <w:pPr>
              <w:widowControl w:val="0"/>
              <w:numPr>
                <w:ilvl w:val="0"/>
                <w:numId w:val="3"/>
              </w:numPr>
              <w:ind w:left="420" w:leftChars="0" w:hanging="420" w:firstLineChars="0"/>
              <w:jc w:val="left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Previous investigations.</w:t>
            </w:r>
          </w:p>
          <w:p>
            <w:pPr>
              <w:widowControl w:val="0"/>
              <w:numPr>
                <w:ilvl w:val="0"/>
                <w:numId w:val="3"/>
              </w:numPr>
              <w:ind w:left="420" w:leftChars="0" w:hanging="420" w:firstLineChars="0"/>
              <w:jc w:val="left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Previous Clinic visits</w:t>
            </w:r>
          </w:p>
          <w:p>
            <w:pPr>
              <w:widowControl w:val="0"/>
              <w:numPr>
                <w:ilvl w:val="0"/>
                <w:numId w:val="3"/>
              </w:numPr>
              <w:ind w:left="420" w:leftChars="0" w:hanging="420" w:firstLineChars="0"/>
              <w:jc w:val="left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Chronic diseases</w:t>
            </w:r>
          </w:p>
          <w:p>
            <w:pPr>
              <w:widowControl w:val="0"/>
              <w:numPr>
                <w:ilvl w:val="0"/>
                <w:numId w:val="3"/>
              </w:numPr>
              <w:ind w:left="420" w:leftChars="0" w:hanging="420" w:firstLineChars="0"/>
              <w:jc w:val="left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Hospital admissions</w:t>
            </w:r>
          </w:p>
          <w:p>
            <w:pPr>
              <w:widowControl w:val="0"/>
              <w:numPr>
                <w:ilvl w:val="0"/>
                <w:numId w:val="3"/>
              </w:numPr>
              <w:ind w:left="420" w:leftChars="0" w:hanging="420" w:firstLineChars="0"/>
              <w:jc w:val="left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 xml:space="preserve">Previous Surgeries and complications.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66" w:hRule="atLeast"/>
        </w:trPr>
        <w:tc>
          <w:tcPr>
            <w:tcW w:w="5699" w:type="dxa"/>
            <w:shd w:val="clear" w:color="auto" w:fill="E7E6E6" w:themeFill="background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40"/>
                <w:szCs w:val="40"/>
                <w:vertAlign w:val="baseline"/>
                <w:lang w:val="en"/>
              </w:rPr>
            </w:pPr>
            <w:r>
              <w:rPr>
                <w:rFonts w:hint="default"/>
                <w:sz w:val="40"/>
                <w:szCs w:val="40"/>
                <w:vertAlign w:val="baseline"/>
                <w:lang w:val="en"/>
              </w:rPr>
              <w:t>Familial History</w:t>
            </w:r>
          </w:p>
        </w:tc>
        <w:tc>
          <w:tcPr>
            <w:tcW w:w="5180" w:type="dxa"/>
            <w:shd w:val="clear" w:color="auto" w:fill="F1F1F1" w:themeFill="background1" w:themeFillShade="F2"/>
          </w:tcPr>
          <w:p>
            <w:pPr>
              <w:widowControl w:val="0"/>
              <w:numPr>
                <w:ilvl w:val="0"/>
                <w:numId w:val="4"/>
              </w:numPr>
              <w:ind w:left="420" w:leftChars="0" w:hanging="420" w:firstLineChars="0"/>
              <w:jc w:val="left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Autoimmune diseases.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left"/>
              <w:rPr>
                <w:rFonts w:hint="default"/>
                <w:sz w:val="40"/>
                <w:szCs w:val="40"/>
                <w:vertAlign w:val="baseline"/>
                <w:lang w:val="en"/>
              </w:rPr>
            </w:pPr>
            <w:r>
              <w:rPr>
                <w:rFonts w:hint="default"/>
                <w:sz w:val="40"/>
                <w:szCs w:val="40"/>
                <w:vertAlign w:val="baseline"/>
                <w:lang w:val="en"/>
              </w:rPr>
              <w:t>And the age of those affected.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06" w:hRule="atLeast"/>
        </w:trPr>
        <w:tc>
          <w:tcPr>
            <w:tcW w:w="5699" w:type="dxa"/>
            <w:shd w:val="clear" w:color="auto" w:fill="E7E6E6" w:themeFill="background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40"/>
                <w:szCs w:val="40"/>
                <w:vertAlign w:val="baseline"/>
                <w:lang w:val="en"/>
              </w:rPr>
            </w:pPr>
            <w:r>
              <w:rPr>
                <w:rFonts w:hint="default"/>
                <w:sz w:val="40"/>
                <w:szCs w:val="40"/>
                <w:vertAlign w:val="baseline"/>
                <w:lang w:val="en"/>
              </w:rPr>
              <w:t>Drug History</w:t>
            </w:r>
          </w:p>
        </w:tc>
        <w:tc>
          <w:tcPr>
            <w:tcW w:w="5180" w:type="dxa"/>
            <w:shd w:val="clear" w:color="auto" w:fill="F1F1F1" w:themeFill="background1" w:themeFillShade="F2"/>
          </w:tcPr>
          <w:p>
            <w:pPr>
              <w:widowControl w:val="0"/>
              <w:numPr>
                <w:ilvl w:val="0"/>
                <w:numId w:val="3"/>
              </w:numPr>
              <w:ind w:left="420" w:leftChars="0" w:hanging="420" w:firstLineChars="0"/>
              <w:jc w:val="left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Prescribed drugs</w:t>
            </w:r>
          </w:p>
          <w:p>
            <w:pPr>
              <w:widowControl w:val="0"/>
              <w:numPr>
                <w:ilvl w:val="0"/>
                <w:numId w:val="3"/>
              </w:numPr>
              <w:ind w:left="420" w:leftChars="0" w:hanging="420" w:firstLineChars="0"/>
              <w:jc w:val="left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OTC</w:t>
            </w:r>
          </w:p>
          <w:p>
            <w:pPr>
              <w:widowControl w:val="0"/>
              <w:numPr>
                <w:ilvl w:val="0"/>
                <w:numId w:val="3"/>
              </w:numPr>
              <w:ind w:left="420" w:leftChars="0" w:hanging="420" w:firstLineChars="0"/>
              <w:jc w:val="left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Topical drugs</w:t>
            </w:r>
          </w:p>
          <w:p>
            <w:pPr>
              <w:widowControl w:val="0"/>
              <w:numPr>
                <w:ilvl w:val="0"/>
                <w:numId w:val="3"/>
              </w:numPr>
              <w:ind w:left="420" w:leftChars="0" w:hanging="420" w:firstLineChars="0"/>
              <w:jc w:val="left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Amiodarone (antiarrhythmic).</w:t>
            </w:r>
          </w:p>
          <w:p>
            <w:pPr>
              <w:widowControl w:val="0"/>
              <w:numPr>
                <w:ilvl w:val="0"/>
                <w:numId w:val="3"/>
              </w:numPr>
              <w:ind w:left="420" w:leftChars="0" w:hanging="420" w:firstLineChars="0"/>
              <w:jc w:val="left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lithium</w:t>
            </w:r>
          </w:p>
          <w:p>
            <w:pPr>
              <w:widowControl w:val="0"/>
              <w:numPr>
                <w:ilvl w:val="0"/>
                <w:numId w:val="3"/>
              </w:numPr>
              <w:ind w:left="420" w:leftChars="0" w:hanging="420" w:firstLineChars="0"/>
              <w:jc w:val="left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Radioactive iodine therapy.</w:t>
            </w:r>
          </w:p>
          <w:p>
            <w:pPr>
              <w:widowControl w:val="0"/>
              <w:numPr>
                <w:ilvl w:val="0"/>
                <w:numId w:val="3"/>
              </w:numPr>
              <w:ind w:left="420" w:leftChars="0" w:hanging="420" w:firstLineChars="0"/>
              <w:jc w:val="left"/>
              <w:rPr>
                <w:rFonts w:hint="default"/>
                <w:sz w:val="40"/>
                <w:szCs w:val="4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Thionamides (PTU/methimazole/carbimazole --&gt; - TPO and deiodonation of T4 in peripheral tissues)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2" w:hRule="atLeast"/>
        </w:trPr>
        <w:tc>
          <w:tcPr>
            <w:tcW w:w="5699" w:type="dxa"/>
            <w:shd w:val="clear" w:color="auto" w:fill="E7E6E6" w:themeFill="background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40"/>
                <w:szCs w:val="40"/>
                <w:vertAlign w:val="baseline"/>
                <w:lang w:val="en"/>
              </w:rPr>
            </w:pPr>
            <w:r>
              <w:rPr>
                <w:rFonts w:hint="default"/>
                <w:sz w:val="40"/>
                <w:szCs w:val="40"/>
                <w:vertAlign w:val="baseline"/>
                <w:lang w:val="en"/>
              </w:rPr>
              <w:t>Other Systems Complaints</w:t>
            </w:r>
          </w:p>
        </w:tc>
        <w:tc>
          <w:tcPr>
            <w:tcW w:w="5180" w:type="dxa"/>
            <w:shd w:val="clear" w:color="auto" w:fill="F1F1F1" w:themeFill="background1" w:themeFillShade="F2"/>
          </w:tcPr>
          <w:p>
            <w:pPr>
              <w:widowControl w:val="0"/>
              <w:numPr>
                <w:ilvl w:val="0"/>
                <w:numId w:val="3"/>
              </w:numPr>
              <w:ind w:left="420" w:leftChars="0" w:hanging="420" w:firstLineChars="0"/>
              <w:jc w:val="both"/>
              <w:rPr>
                <w:rFonts w:hint="default"/>
                <w:sz w:val="40"/>
                <w:szCs w:val="4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Systems review</w:t>
            </w:r>
          </w:p>
        </w:tc>
      </w:tr>
    </w:tbl>
    <w:p>
      <w:pPr>
        <w:rPr>
          <w:rFonts w:hint="default"/>
          <w:sz w:val="50"/>
          <w:szCs w:val="50"/>
          <w:lang w:val="en"/>
        </w:rPr>
      </w:pPr>
    </w:p>
    <w:p>
      <w:pPr>
        <w:rPr>
          <w:rFonts w:hint="default"/>
          <w:sz w:val="50"/>
          <w:szCs w:val="50"/>
          <w:highlight w:val="yellow"/>
          <w:lang w:val="en"/>
        </w:rPr>
      </w:pPr>
    </w:p>
    <w:p>
      <w:pPr>
        <w:rPr>
          <w:rFonts w:hint="default"/>
          <w:sz w:val="50"/>
          <w:szCs w:val="50"/>
          <w:vertAlign w:val="baseline"/>
          <w:lang w:val="en"/>
        </w:rPr>
      </w:pPr>
      <w:r>
        <w:rPr>
          <w:rFonts w:hint="default"/>
          <w:sz w:val="50"/>
          <w:szCs w:val="50"/>
          <w:highlight w:val="yellow"/>
          <w:lang w:val="en"/>
        </w:rPr>
        <w:t xml:space="preserve">Common presenting complaints : </w:t>
      </w:r>
      <w:r>
        <w:rPr>
          <w:rFonts w:hint="default"/>
          <w:sz w:val="50"/>
          <w:szCs w:val="50"/>
          <w:lang w:val="en"/>
        </w:rPr>
        <w:br w:type="textWrapping"/>
      </w:r>
      <w:r>
        <w:rPr>
          <w:rFonts w:hint="default"/>
          <w:sz w:val="50"/>
          <w:szCs w:val="50"/>
          <w:lang w:val="en"/>
        </w:rPr>
        <w:t xml:space="preserve">1) Neck Swelling :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084"/>
        <w:gridCol w:w="2217"/>
        <w:gridCol w:w="3366"/>
        <w:gridCol w:w="30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084" w:type="dxa"/>
            <w:shd w:val="clear" w:color="auto" w:fill="92D050"/>
          </w:tcPr>
          <w:p>
            <w:pPr>
              <w:jc w:val="center"/>
              <w:rPr>
                <w:rFonts w:hint="default"/>
                <w:sz w:val="40"/>
                <w:szCs w:val="40"/>
                <w:vertAlign w:val="baseline"/>
                <w:lang w:val="en"/>
              </w:rPr>
            </w:pPr>
            <w:r>
              <w:rPr>
                <w:rFonts w:hint="default"/>
                <w:sz w:val="40"/>
                <w:szCs w:val="40"/>
                <w:highlight w:val="none"/>
                <w:shd w:val="clear"/>
                <w:vertAlign w:val="baseline"/>
                <w:lang w:val="en"/>
              </w:rPr>
              <w:t>Swelling</w:t>
            </w:r>
          </w:p>
        </w:tc>
        <w:tc>
          <w:tcPr>
            <w:tcW w:w="2217" w:type="dxa"/>
            <w:shd w:val="clear" w:color="auto" w:fill="E7E6E6" w:themeFill="background2"/>
          </w:tcPr>
          <w:p>
            <w:pPr>
              <w:jc w:val="center"/>
              <w:rPr>
                <w:rFonts w:hint="default"/>
                <w:sz w:val="40"/>
                <w:szCs w:val="40"/>
                <w:vertAlign w:val="baseline"/>
                <w:lang w:val="en"/>
              </w:rPr>
            </w:pPr>
            <w:r>
              <w:rPr>
                <w:rFonts w:hint="default"/>
                <w:sz w:val="40"/>
                <w:szCs w:val="40"/>
                <w:vertAlign w:val="baseline"/>
                <w:lang w:val="en"/>
              </w:rPr>
              <w:t>Description</w:t>
            </w:r>
          </w:p>
        </w:tc>
        <w:tc>
          <w:tcPr>
            <w:tcW w:w="3366" w:type="dxa"/>
            <w:shd w:val="clear" w:color="auto" w:fill="E7E6E6" w:themeFill="background2"/>
          </w:tcPr>
          <w:p>
            <w:pPr>
              <w:jc w:val="center"/>
              <w:rPr>
                <w:rFonts w:hint="default"/>
                <w:sz w:val="40"/>
                <w:szCs w:val="40"/>
                <w:vertAlign w:val="baseline"/>
                <w:lang w:val="en"/>
              </w:rPr>
            </w:pPr>
            <w:r>
              <w:rPr>
                <w:rFonts w:hint="default"/>
                <w:sz w:val="40"/>
                <w:szCs w:val="40"/>
                <w:vertAlign w:val="baseline"/>
                <w:lang w:val="en"/>
              </w:rPr>
              <w:t>Etiology</w:t>
            </w:r>
          </w:p>
        </w:tc>
        <w:tc>
          <w:tcPr>
            <w:tcW w:w="3015" w:type="dxa"/>
            <w:shd w:val="clear" w:color="auto" w:fill="E7E6E6" w:themeFill="background2"/>
          </w:tcPr>
          <w:p>
            <w:pPr>
              <w:jc w:val="center"/>
              <w:rPr>
                <w:rFonts w:hint="default"/>
                <w:sz w:val="40"/>
                <w:szCs w:val="40"/>
                <w:vertAlign w:val="baseline"/>
                <w:lang w:val="en"/>
              </w:rPr>
            </w:pPr>
            <w:r>
              <w:rPr>
                <w:rFonts w:hint="default"/>
                <w:sz w:val="40"/>
                <w:szCs w:val="40"/>
                <w:vertAlign w:val="baseline"/>
                <w:lang w:val="en"/>
              </w:rPr>
              <w:t>Treatment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84" w:type="dxa"/>
          </w:tcPr>
          <w:p>
            <w:pPr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Non-toxic Goiter (simple diffuse or multinodular)</w:t>
            </w:r>
          </w:p>
        </w:tc>
        <w:tc>
          <w:tcPr>
            <w:tcW w:w="2217" w:type="dxa"/>
            <w:shd w:val="clear" w:color="auto" w:fill="E7E6E6" w:themeFill="background2"/>
          </w:tcPr>
          <w:p>
            <w:pPr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- Euthyroid or Dysfunction</w:t>
            </w:r>
          </w:p>
          <w:p>
            <w:pPr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 xml:space="preserve">- Compression symptoms in huge diffuse goiters </w:t>
            </w:r>
          </w:p>
        </w:tc>
        <w:tc>
          <w:tcPr>
            <w:tcW w:w="3366" w:type="dxa"/>
            <w:shd w:val="clear" w:color="auto" w:fill="E7E6E6" w:themeFill="background2"/>
          </w:tcPr>
          <w:p>
            <w:pPr>
              <w:numPr>
                <w:ilvl w:val="0"/>
                <w:numId w:val="5"/>
              </w:numPr>
              <w:ind w:left="420" w:leftChars="0" w:hanging="420" w:firstLineChars="0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Iodine deficiency.</w:t>
            </w:r>
          </w:p>
          <w:p>
            <w:pPr>
              <w:numPr>
                <w:ilvl w:val="0"/>
                <w:numId w:val="5"/>
              </w:numPr>
              <w:ind w:left="420" w:leftChars="0" w:hanging="420" w:firstLineChars="0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Physiological. (lactation/pregnancy/stress).</w:t>
            </w:r>
          </w:p>
          <w:p>
            <w:pPr>
              <w:numPr>
                <w:ilvl w:val="0"/>
                <w:numId w:val="5"/>
              </w:numPr>
              <w:ind w:left="420" w:leftChars="0" w:hanging="420" w:firstLineChars="0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Colloid goiter.</w:t>
            </w:r>
          </w:p>
          <w:p>
            <w:pPr>
              <w:numPr>
                <w:ilvl w:val="0"/>
                <w:numId w:val="5"/>
              </w:numPr>
              <w:ind w:left="420" w:leftChars="0" w:hanging="420" w:firstLineChars="0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Drug induced (thionamides/PTU/amiodarone -- a 3</w:t>
            </w:r>
            <w:r>
              <w:rPr>
                <w:rFonts w:hint="default"/>
                <w:sz w:val="30"/>
                <w:szCs w:val="30"/>
                <w:vertAlign w:val="superscript"/>
                <w:lang w:val="en"/>
              </w:rPr>
              <w:t>rd</w:t>
            </w: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 xml:space="preserve"> gen antiarrhythmic drug).</w:t>
            </w:r>
          </w:p>
        </w:tc>
        <w:tc>
          <w:tcPr>
            <w:tcW w:w="3015" w:type="dxa"/>
            <w:shd w:val="clear" w:color="auto" w:fill="E7E6E6" w:themeFill="background2"/>
          </w:tcPr>
          <w:p>
            <w:pPr>
              <w:numPr>
                <w:ilvl w:val="0"/>
                <w:numId w:val="5"/>
              </w:numPr>
              <w:ind w:left="420" w:leftChars="0" w:hanging="420" w:firstLineChars="0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Subtotal thyroidectomy.</w:t>
            </w:r>
          </w:p>
          <w:p>
            <w:pPr>
              <w:numPr>
                <w:ilvl w:val="0"/>
                <w:numId w:val="5"/>
              </w:numPr>
              <w:ind w:left="420" w:leftChars="0" w:hanging="420" w:firstLineChars="0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Lobectomy.</w:t>
            </w:r>
          </w:p>
          <w:p>
            <w:pPr>
              <w:numPr>
                <w:ilvl w:val="0"/>
                <w:numId w:val="5"/>
              </w:numPr>
              <w:ind w:left="420" w:leftChars="0" w:hanging="420" w:firstLineChars="0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Total thyroidectomy.</w:t>
            </w:r>
          </w:p>
          <w:p>
            <w:pPr>
              <w:numPr>
                <w:ilvl w:val="0"/>
                <w:numId w:val="5"/>
              </w:numPr>
              <w:ind w:left="420" w:leftChars="0" w:hanging="420" w:firstLineChars="0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Radioiodine ablation.</w:t>
            </w:r>
          </w:p>
          <w:p>
            <w:pPr>
              <w:numPr>
                <w:ilvl w:val="0"/>
                <w:numId w:val="5"/>
              </w:numPr>
              <w:ind w:left="420" w:leftChars="0" w:hanging="420" w:firstLineChars="0"/>
              <w:rPr>
                <w:rFonts w:hint="default"/>
                <w:color w:val="E7E6E6" w:themeColor="background2"/>
                <w:sz w:val="30"/>
                <w:szCs w:val="30"/>
                <w:highlight w:val="red"/>
                <w:vertAlign w:val="baseline"/>
                <w:lang w:val="en"/>
                <w14:textFill>
                  <w14:solidFill>
                    <w14:schemeClr w14:val="bg2"/>
                  </w14:solidFill>
                </w14:textFill>
              </w:rPr>
            </w:pPr>
            <w:r>
              <w:rPr>
                <w:rFonts w:hint="default"/>
                <w:color w:val="E7E6E6" w:themeColor="background2"/>
                <w:sz w:val="30"/>
                <w:szCs w:val="30"/>
                <w:highlight w:val="red"/>
                <w:vertAlign w:val="baseline"/>
                <w:lang w:val="en"/>
                <w14:textFill>
                  <w14:solidFill>
                    <w14:schemeClr w14:val="bg2"/>
                  </w14:solidFill>
                </w14:textFill>
              </w:rPr>
              <w:t>Thionamides are contraindicated.</w:t>
            </w:r>
          </w:p>
          <w:p>
            <w:pPr>
              <w:numPr>
                <w:numId w:val="0"/>
              </w:numPr>
              <w:ind w:leftChars="0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</w:p>
          <w:p>
            <w:pPr>
              <w:numPr>
                <w:numId w:val="0"/>
              </w:numPr>
              <w:ind w:leftChars="0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+ Hormone replacement therapy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084" w:type="dxa"/>
          </w:tcPr>
          <w:p>
            <w:pPr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Toxic diffuse Goiter (grave’s disease)</w:t>
            </w:r>
          </w:p>
        </w:tc>
        <w:tc>
          <w:tcPr>
            <w:tcW w:w="2217" w:type="dxa"/>
            <w:shd w:val="clear" w:color="auto" w:fill="E7E6E6" w:themeFill="background2"/>
          </w:tcPr>
          <w:p>
            <w:pPr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 xml:space="preserve">Usually hyperfunction but may express hypofunction features concurrently in 80% of cases due to TPO+AB. </w:t>
            </w:r>
          </w:p>
        </w:tc>
        <w:tc>
          <w:tcPr>
            <w:tcW w:w="3366" w:type="dxa"/>
            <w:shd w:val="clear" w:color="auto" w:fill="E7E6E6" w:themeFill="background2"/>
          </w:tcPr>
          <w:p>
            <w:pPr>
              <w:numPr>
                <w:ilvl w:val="0"/>
                <w:numId w:val="5"/>
              </w:numPr>
              <w:ind w:left="420" w:leftChars="0" w:hanging="420" w:firstLineChars="0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TSI antibodies creates an autonomous gland by increasing the sensitivity of TSH-R.</w:t>
            </w:r>
          </w:p>
          <w:p>
            <w:pPr>
              <w:numPr>
                <w:ilvl w:val="0"/>
                <w:numId w:val="5"/>
              </w:numPr>
              <w:ind w:left="420" w:leftChars="0" w:hanging="420" w:firstLineChars="0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Sudden increase in iodine intake.</w:t>
            </w:r>
          </w:p>
          <w:p>
            <w:pPr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</w:p>
        </w:tc>
        <w:tc>
          <w:tcPr>
            <w:tcW w:w="3015" w:type="dxa"/>
            <w:shd w:val="clear" w:color="auto" w:fill="E7E6E6" w:themeFill="background2"/>
          </w:tcPr>
          <w:p>
            <w:pPr>
              <w:numPr>
                <w:ilvl w:val="0"/>
                <w:numId w:val="5"/>
              </w:numPr>
              <w:ind w:left="420" w:leftChars="0" w:hanging="420" w:firstLineChars="0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Thionamides (PTU/carbimazole) -&gt; -- TPO.</w:t>
            </w:r>
          </w:p>
          <w:p>
            <w:pPr>
              <w:numPr>
                <w:ilvl w:val="0"/>
                <w:numId w:val="5"/>
              </w:numPr>
              <w:ind w:left="420" w:leftChars="0" w:hanging="420" w:firstLineChars="0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Radioiodine ablation.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084" w:type="dxa"/>
          </w:tcPr>
          <w:p>
            <w:pPr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Autoimmune thyroiditis</w:t>
            </w:r>
          </w:p>
        </w:tc>
        <w:tc>
          <w:tcPr>
            <w:tcW w:w="2217" w:type="dxa"/>
            <w:shd w:val="clear" w:color="auto" w:fill="E7E6E6" w:themeFill="background2"/>
          </w:tcPr>
          <w:p>
            <w:pPr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Hypofunction</w:t>
            </w:r>
          </w:p>
        </w:tc>
        <w:tc>
          <w:tcPr>
            <w:tcW w:w="3366" w:type="dxa"/>
            <w:shd w:val="clear" w:color="auto" w:fill="E7E6E6" w:themeFill="background2"/>
          </w:tcPr>
          <w:p>
            <w:pPr>
              <w:numPr>
                <w:ilvl w:val="0"/>
                <w:numId w:val="5"/>
              </w:numPr>
              <w:ind w:left="420" w:leftChars="0" w:hanging="420" w:firstLineChars="0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TPOAb+ -&gt; destruction of TPO enzyme -&gt; failure of oxidation/organification and iodoniation.</w:t>
            </w:r>
          </w:p>
        </w:tc>
        <w:tc>
          <w:tcPr>
            <w:tcW w:w="3015" w:type="dxa"/>
            <w:shd w:val="clear" w:color="auto" w:fill="E7E6E6" w:themeFill="background2"/>
          </w:tcPr>
          <w:p>
            <w:pPr>
              <w:numPr>
                <w:ilvl w:val="0"/>
                <w:numId w:val="5"/>
              </w:numPr>
              <w:ind w:left="420" w:leftChars="0" w:hanging="420" w:firstLineChars="0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Treat the hypothyroidism with HRT.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084" w:type="dxa"/>
          </w:tcPr>
          <w:p>
            <w:pPr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Subacute thyroiditis (de Quervain’s)</w:t>
            </w:r>
          </w:p>
        </w:tc>
        <w:tc>
          <w:tcPr>
            <w:tcW w:w="2217" w:type="dxa"/>
            <w:shd w:val="clear" w:color="auto" w:fill="E7E6E6" w:themeFill="background2"/>
          </w:tcPr>
          <w:p>
            <w:pPr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Express a sort of tenderness &amp; hotness</w:t>
            </w:r>
          </w:p>
        </w:tc>
        <w:tc>
          <w:tcPr>
            <w:tcW w:w="3366" w:type="dxa"/>
            <w:shd w:val="clear" w:color="auto" w:fill="E7E6E6" w:themeFill="background2"/>
          </w:tcPr>
          <w:p>
            <w:pPr>
              <w:numPr>
                <w:ilvl w:val="0"/>
                <w:numId w:val="5"/>
              </w:numPr>
              <w:ind w:left="420" w:leftChars="0" w:hanging="420" w:firstLineChars="0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Inflammatory infilterates due to viral infection.</w:t>
            </w:r>
          </w:p>
        </w:tc>
        <w:tc>
          <w:tcPr>
            <w:tcW w:w="3015" w:type="dxa"/>
            <w:shd w:val="clear" w:color="auto" w:fill="E7E6E6" w:themeFill="background2"/>
          </w:tcPr>
          <w:p>
            <w:pPr>
              <w:numPr>
                <w:ilvl w:val="0"/>
                <w:numId w:val="5"/>
              </w:numPr>
              <w:ind w:left="420" w:leftChars="0" w:hanging="420" w:firstLineChars="0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NSAIDs</w:t>
            </w:r>
          </w:p>
          <w:p>
            <w:pPr>
              <w:numPr>
                <w:ilvl w:val="0"/>
                <w:numId w:val="5"/>
              </w:numPr>
              <w:ind w:left="420" w:leftChars="0" w:hanging="420" w:firstLineChars="0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Corticosteriods</w:t>
            </w:r>
          </w:p>
          <w:p>
            <w:pPr>
              <w:numPr>
                <w:ilvl w:val="0"/>
                <w:numId w:val="5"/>
              </w:numPr>
              <w:ind w:left="420" w:leftChars="0" w:hanging="420" w:firstLineChars="0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HRT wit low doses during the hypofunction phase (after the follicular destructive phase).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084" w:type="dxa"/>
          </w:tcPr>
          <w:p>
            <w:pPr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Retrosternal goitre</w:t>
            </w:r>
          </w:p>
        </w:tc>
        <w:tc>
          <w:tcPr>
            <w:tcW w:w="2217" w:type="dxa"/>
            <w:shd w:val="clear" w:color="auto" w:fill="E7E6E6" w:themeFill="background2"/>
          </w:tcPr>
          <w:p>
            <w:pPr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 xml:space="preserve">Compressive symptoms : </w:t>
            </w:r>
            <w:r>
              <w:rPr>
                <w:rFonts w:hint="default"/>
                <w:b/>
                <w:bCs/>
                <w:sz w:val="30"/>
                <w:szCs w:val="30"/>
                <w:vertAlign w:val="baseline"/>
                <w:lang w:val="en"/>
              </w:rPr>
              <w:t>Dysphagia</w:t>
            </w: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 xml:space="preserve">, </w:t>
            </w:r>
            <w:r>
              <w:rPr>
                <w:rFonts w:hint="default"/>
                <w:b/>
                <w:bCs/>
                <w:sz w:val="30"/>
                <w:szCs w:val="30"/>
                <w:vertAlign w:val="baseline"/>
                <w:lang w:val="en"/>
              </w:rPr>
              <w:t>breathlessness</w:t>
            </w: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 xml:space="preserve">, </w:t>
            </w:r>
            <w:r>
              <w:rPr>
                <w:rFonts w:hint="default"/>
                <w:b/>
                <w:bCs/>
                <w:sz w:val="30"/>
                <w:szCs w:val="30"/>
                <w:vertAlign w:val="baseline"/>
                <w:lang w:val="en"/>
              </w:rPr>
              <w:t>stridor</w:t>
            </w: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.</w:t>
            </w:r>
          </w:p>
        </w:tc>
        <w:tc>
          <w:tcPr>
            <w:tcW w:w="3366" w:type="dxa"/>
            <w:shd w:val="clear" w:color="auto" w:fill="E7E6E6" w:themeFill="background2"/>
          </w:tcPr>
          <w:p>
            <w:pPr>
              <w:numPr>
                <w:ilvl w:val="0"/>
                <w:numId w:val="5"/>
              </w:numPr>
              <w:ind w:left="420" w:leftChars="0" w:hanging="420" w:firstLineChars="0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Large thyroid goitre or tumors.</w:t>
            </w:r>
          </w:p>
        </w:tc>
        <w:tc>
          <w:tcPr>
            <w:tcW w:w="3015" w:type="dxa"/>
            <w:shd w:val="clear" w:color="auto" w:fill="E7E6E6" w:themeFill="background2"/>
          </w:tcPr>
          <w:p>
            <w:pPr>
              <w:numPr>
                <w:ilvl w:val="0"/>
                <w:numId w:val="5"/>
              </w:numPr>
              <w:ind w:left="420" w:leftChars="0" w:hanging="420" w:firstLineChars="0"/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Urgent surgery may be needed if there were compressive symptoms.</w:t>
            </w:r>
          </w:p>
        </w:tc>
      </w:tr>
    </w:tbl>
    <w:p>
      <w:pPr>
        <w:rPr>
          <w:rFonts w:hint="default"/>
          <w:sz w:val="40"/>
          <w:szCs w:val="40"/>
          <w:lang w:val="en"/>
        </w:rPr>
      </w:pPr>
    </w:p>
    <w:p>
      <w:pPr>
        <w:rPr>
          <w:rFonts w:hint="default"/>
          <w:sz w:val="40"/>
          <w:szCs w:val="40"/>
          <w:vertAlign w:val="baseline"/>
          <w:lang w:val="en"/>
        </w:rPr>
      </w:pPr>
      <w:r>
        <w:rPr>
          <w:rFonts w:hint="default"/>
          <w:sz w:val="40"/>
          <w:szCs w:val="40"/>
          <w:lang w:val="en"/>
        </w:rPr>
        <w:t xml:space="preserve">2) Neck Pain :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5341"/>
        <w:gridCol w:w="53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341" w:type="dxa"/>
            <w:shd w:val="clear" w:color="auto" w:fill="92D050"/>
          </w:tcPr>
          <w:p>
            <w:pPr>
              <w:rPr>
                <w:rFonts w:hint="default"/>
                <w:sz w:val="40"/>
                <w:szCs w:val="40"/>
                <w:vertAlign w:val="baseline"/>
                <w:lang w:val="en"/>
              </w:rPr>
            </w:pPr>
            <w:r>
              <w:rPr>
                <w:rFonts w:hint="default"/>
                <w:sz w:val="40"/>
                <w:szCs w:val="40"/>
                <w:vertAlign w:val="baseline"/>
                <w:lang w:val="en"/>
              </w:rPr>
              <w:t>Disorder</w:t>
            </w:r>
          </w:p>
        </w:tc>
        <w:tc>
          <w:tcPr>
            <w:tcW w:w="5341" w:type="dxa"/>
            <w:shd w:val="clear" w:color="auto" w:fill="D7D7D7" w:themeFill="background1" w:themeFillShade="D8"/>
          </w:tcPr>
          <w:p>
            <w:pPr>
              <w:rPr>
                <w:rFonts w:hint="default"/>
                <w:sz w:val="40"/>
                <w:szCs w:val="40"/>
                <w:vertAlign w:val="baseline"/>
                <w:lang w:val="en"/>
              </w:rPr>
            </w:pPr>
            <w:r>
              <w:rPr>
                <w:rFonts w:hint="default"/>
                <w:sz w:val="40"/>
                <w:szCs w:val="40"/>
                <w:vertAlign w:val="baseline"/>
                <w:lang w:val="en"/>
              </w:rPr>
              <w:t>Associated symptoms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341" w:type="dxa"/>
          </w:tcPr>
          <w:p>
            <w:pPr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Subacute/acute /inflammatory thyroiditis</w:t>
            </w:r>
          </w:p>
        </w:tc>
        <w:tc>
          <w:tcPr>
            <w:tcW w:w="5341" w:type="dxa"/>
            <w:shd w:val="clear" w:color="auto" w:fill="D7D7D7" w:themeFill="background1" w:themeFillShade="D8"/>
          </w:tcPr>
          <w:p>
            <w:pPr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Redness and hotness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341" w:type="dxa"/>
          </w:tcPr>
          <w:p>
            <w:pPr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Bleeding into thyroid nodule</w:t>
            </w:r>
          </w:p>
        </w:tc>
        <w:tc>
          <w:tcPr>
            <w:tcW w:w="5341" w:type="dxa"/>
            <w:shd w:val="clear" w:color="auto" w:fill="D7D7D7" w:themeFill="background1" w:themeFillShade="D8"/>
          </w:tcPr>
          <w:p>
            <w:pPr>
              <w:rPr>
                <w:rFonts w:hint="default"/>
                <w:sz w:val="30"/>
                <w:szCs w:val="30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vertAlign w:val="baseline"/>
                <w:lang w:val="en"/>
              </w:rPr>
              <w:t>Redness and hotness</w:t>
            </w:r>
          </w:p>
        </w:tc>
      </w:tr>
    </w:tbl>
    <w:p>
      <w:pPr>
        <w:rPr>
          <w:rFonts w:hint="default"/>
          <w:sz w:val="40"/>
          <w:szCs w:val="40"/>
          <w:lang w:val="en"/>
        </w:rPr>
      </w:pPr>
      <w:r>
        <w:rPr>
          <w:rFonts w:hint="default"/>
          <w:sz w:val="40"/>
          <w:szCs w:val="40"/>
          <w:lang w:val="en"/>
        </w:rPr>
        <w:t>3) History suggesting hypothyroidism.</w:t>
      </w:r>
      <w:r>
        <w:rPr>
          <w:rFonts w:hint="default"/>
          <w:sz w:val="40"/>
          <w:szCs w:val="40"/>
          <w:lang w:val="en"/>
        </w:rPr>
        <w:br w:type="textWrapping"/>
      </w:r>
      <w:r>
        <w:rPr>
          <w:rFonts w:hint="default"/>
          <w:sz w:val="40"/>
          <w:szCs w:val="40"/>
          <w:lang w:val="en"/>
        </w:rPr>
        <w:t>4) History suggesting hyperthyroidism.</w:t>
      </w:r>
    </w:p>
    <w:p>
      <w:pPr>
        <w:rPr>
          <w:rFonts w:hint="default"/>
          <w:sz w:val="50"/>
          <w:szCs w:val="50"/>
          <w:highlight w:val="yellow"/>
          <w:lang w:val="en"/>
        </w:rPr>
      </w:pPr>
      <w:r>
        <w:drawing>
          <wp:inline distT="0" distB="0" distL="114300" distR="114300">
            <wp:extent cx="2647315" cy="3910965"/>
            <wp:effectExtent l="0" t="0" r="63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39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50"/>
          <w:szCs w:val="50"/>
          <w:highlight w:val="yellow"/>
          <w:lang w:val="en"/>
        </w:rPr>
      </w:pPr>
      <w:r>
        <w:rPr>
          <w:rFonts w:hint="default"/>
          <w:sz w:val="50"/>
          <w:szCs w:val="50"/>
          <w:highlight w:val="yellow"/>
          <w:lang w:val="en"/>
        </w:rPr>
        <w:t>Investigations Schemes :</w:t>
      </w:r>
    </w:p>
    <w:tbl>
      <w:tblPr>
        <w:tblStyle w:val="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70AD47" w:themeFill="accent6"/>
        <w:tblLayout w:type="autofit"/>
        <w:tblCellMar>
          <w:left w:w="108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0682" w:type="dxa"/>
            <w:tcBorders>
              <w:bottom w:val="nil"/>
            </w:tcBorders>
            <w:shd w:val="clear" w:color="auto" w:fill="92D050"/>
          </w:tcPr>
          <w:p>
            <w:pPr>
              <w:jc w:val="center"/>
              <w:rPr>
                <w:rFonts w:hint="default"/>
                <w:sz w:val="50"/>
                <w:szCs w:val="50"/>
                <w:highlight w:val="yellow"/>
                <w:vertAlign w:val="baseline"/>
                <w:lang w:val="en"/>
              </w:rPr>
            </w:pPr>
            <w:r>
              <w:rPr>
                <w:rFonts w:hint="default"/>
                <w:sz w:val="40"/>
                <w:szCs w:val="40"/>
                <w:highlight w:val="none"/>
                <w:vertAlign w:val="baseline"/>
                <w:lang w:val="en"/>
              </w:rPr>
              <w:t>Hypothyroidism workout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70AD47" w:themeFill="accent6"/>
        </w:tblPrEx>
        <w:trPr>
          <w:jc w:val="center"/>
        </w:trPr>
        <w:tc>
          <w:tcPr>
            <w:tcW w:w="10682" w:type="dxa"/>
            <w:tcBorders>
              <w:top w:val="nil"/>
            </w:tcBorders>
            <w:shd w:val="clear" w:color="auto" w:fill="70AD47" w:themeFill="accent6"/>
          </w:tcPr>
          <w:p>
            <w:pPr>
              <w:jc w:val="center"/>
              <w:rPr>
                <w:rFonts w:hint="default"/>
                <w:sz w:val="50"/>
                <w:szCs w:val="50"/>
                <w:highlight w:val="yellow"/>
                <w:vertAlign w:val="baseline"/>
                <w:lang w:val="en"/>
              </w:rPr>
            </w:pPr>
            <w:r>
              <w:drawing>
                <wp:inline distT="0" distB="0" distL="114300" distR="114300">
                  <wp:extent cx="4949825" cy="3534410"/>
                  <wp:effectExtent l="0" t="0" r="3175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825" cy="3534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70AD47" w:themeFill="accent6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0682" w:type="dxa"/>
            <w:shd w:val="clear" w:color="auto" w:fill="92D050"/>
          </w:tcPr>
          <w:p>
            <w:pPr>
              <w:jc w:val="center"/>
              <w:rPr>
                <w:rFonts w:hint="default"/>
                <w:sz w:val="50"/>
                <w:szCs w:val="50"/>
                <w:highlight w:val="yellow"/>
                <w:vertAlign w:val="baseline"/>
                <w:lang w:val="en"/>
              </w:rPr>
            </w:pPr>
            <w:r>
              <w:rPr>
                <w:rFonts w:hint="default"/>
                <w:sz w:val="40"/>
                <w:szCs w:val="40"/>
                <w:highlight w:val="none"/>
                <w:vertAlign w:val="baseline"/>
                <w:lang w:val="en"/>
              </w:rPr>
              <w:t>Hyperthyroidism workout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70AD47" w:themeFill="accent6"/>
          <w:tblCellMar>
            <w:left w:w="108" w:type="dxa"/>
            <w:right w:w="108" w:type="dxa"/>
          </w:tblCellMar>
        </w:tblPrEx>
        <w:trPr>
          <w:trHeight w:val="8173" w:hRule="atLeast"/>
          <w:jc w:val="center"/>
        </w:trPr>
        <w:tc>
          <w:tcPr>
            <w:tcW w:w="10682" w:type="dxa"/>
            <w:shd w:val="clear" w:color="auto" w:fill="70AD47" w:themeFill="accent6"/>
          </w:tcPr>
          <w:p>
            <w:pPr>
              <w:jc w:val="center"/>
              <w:rPr>
                <w:rFonts w:hint="default"/>
                <w:sz w:val="50"/>
                <w:szCs w:val="50"/>
                <w:highlight w:val="yellow"/>
                <w:vertAlign w:val="baseline"/>
                <w:lang w:val="en"/>
              </w:rPr>
            </w:pPr>
            <w:r>
              <w:drawing>
                <wp:inline distT="0" distB="0" distL="114300" distR="114300">
                  <wp:extent cx="4988560" cy="5057140"/>
                  <wp:effectExtent l="0" t="0" r="2540" b="1016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8560" cy="5057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sz w:val="50"/>
          <w:szCs w:val="50"/>
          <w:highlight w:val="yellow"/>
          <w:lang w:val="en"/>
        </w:rPr>
      </w:pPr>
      <w:r>
        <w:rPr>
          <w:rFonts w:hint="default"/>
          <w:sz w:val="50"/>
          <w:szCs w:val="50"/>
          <w:highlight w:val="yellow"/>
          <w:lang w:val="en"/>
        </w:rPr>
        <w:t>General Examination :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682" w:type="dxa"/>
            <w:shd w:val="clear" w:color="auto" w:fill="92D050"/>
          </w:tcPr>
          <w:p>
            <w:pPr>
              <w:jc w:val="center"/>
              <w:rPr>
                <w:rFonts w:hint="default"/>
                <w:sz w:val="50"/>
                <w:szCs w:val="50"/>
                <w:highlight w:val="yellow"/>
                <w:vertAlign w:val="baseline"/>
                <w:lang w:val="en"/>
              </w:rPr>
            </w:pPr>
            <w:r>
              <w:rPr>
                <w:rFonts w:hint="default"/>
                <w:sz w:val="40"/>
                <w:szCs w:val="40"/>
                <w:highlight w:val="none"/>
                <w:vertAlign w:val="baseline"/>
                <w:lang w:val="en"/>
              </w:rPr>
              <w:t>Observe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682" w:type="dxa"/>
          </w:tcPr>
          <w:p>
            <w:pPr>
              <w:numPr>
                <w:numId w:val="0"/>
              </w:numPr>
              <w:jc w:val="center"/>
              <w:rPr>
                <w:rFonts w:hint="default"/>
                <w:sz w:val="50"/>
                <w:szCs w:val="50"/>
                <w:highlight w:val="yellow"/>
                <w:vertAlign w:val="baseline"/>
                <w:lang w:val="en"/>
              </w:rPr>
            </w:pPr>
            <w:r>
              <w:rPr>
                <w:rFonts w:hint="default"/>
                <w:sz w:val="40"/>
                <w:szCs w:val="40"/>
                <w:highlight w:val="none"/>
                <w:vertAlign w:val="baseline"/>
                <w:lang w:val="en"/>
              </w:rPr>
              <w:t xml:space="preserve">For signs of hyper or hypo thyroidism : </w:t>
            </w:r>
            <w:r>
              <w:rPr>
                <w:rFonts w:hint="default"/>
                <w:sz w:val="50"/>
                <w:szCs w:val="50"/>
                <w:highlight w:val="yellow"/>
                <w:vertAlign w:val="baseline"/>
                <w:lang w:val="en"/>
              </w:rPr>
              <w:br w:type="textWrapping"/>
            </w:r>
            <w:r>
              <w:drawing>
                <wp:inline distT="0" distB="0" distL="114300" distR="114300">
                  <wp:extent cx="3018155" cy="4458970"/>
                  <wp:effectExtent l="0" t="0" r="10795" b="177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155" cy="4458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682" w:type="dxa"/>
            <w:shd w:val="clear" w:color="auto" w:fill="92D050"/>
          </w:tcPr>
          <w:p>
            <w:pPr>
              <w:jc w:val="center"/>
              <w:rPr>
                <w:rFonts w:hint="default"/>
                <w:sz w:val="50"/>
                <w:szCs w:val="50"/>
                <w:highlight w:val="yellow"/>
                <w:vertAlign w:val="baseline"/>
                <w:lang w:val="en"/>
              </w:rPr>
            </w:pPr>
            <w:r>
              <w:rPr>
                <w:rFonts w:hint="default"/>
                <w:sz w:val="40"/>
                <w:szCs w:val="40"/>
                <w:highlight w:val="none"/>
                <w:vertAlign w:val="baseline"/>
                <w:lang w:val="en"/>
              </w:rPr>
              <w:t>Inspect Hands for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682" w:type="dxa"/>
          </w:tcPr>
          <w:p>
            <w:pPr>
              <w:numPr>
                <w:ilvl w:val="0"/>
                <w:numId w:val="6"/>
              </w:numPr>
              <w:ind w:left="420" w:leftChars="0" w:hanging="420" w:firstLineChars="0"/>
              <w:jc w:val="center"/>
              <w:rPr>
                <w:rFonts w:hint="default"/>
                <w:sz w:val="40"/>
                <w:szCs w:val="40"/>
                <w:highlight w:val="none"/>
                <w:vertAlign w:val="baseline"/>
                <w:lang w:val="en"/>
              </w:rPr>
            </w:pPr>
            <w:r>
              <w:rPr>
                <w:rFonts w:hint="default"/>
                <w:sz w:val="40"/>
                <w:szCs w:val="40"/>
                <w:highlight w:val="none"/>
                <w:vertAlign w:val="baseline"/>
                <w:lang w:val="en"/>
              </w:rPr>
              <w:t>Vitiligo.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jc w:val="center"/>
              <w:rPr>
                <w:rFonts w:hint="default"/>
                <w:sz w:val="40"/>
                <w:szCs w:val="40"/>
                <w:highlight w:val="none"/>
                <w:vertAlign w:val="baseline"/>
                <w:lang w:val="en"/>
              </w:rPr>
            </w:pPr>
            <w:r>
              <w:rPr>
                <w:rFonts w:hint="default"/>
                <w:sz w:val="40"/>
                <w:szCs w:val="40"/>
                <w:highlight w:val="none"/>
                <w:vertAlign w:val="baseline"/>
                <w:lang w:val="en"/>
              </w:rPr>
              <w:t>Thyroid acropachy.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jc w:val="center"/>
              <w:rPr>
                <w:rFonts w:hint="default"/>
                <w:sz w:val="40"/>
                <w:szCs w:val="40"/>
                <w:highlight w:val="none"/>
                <w:vertAlign w:val="baseline"/>
                <w:lang w:val="en"/>
              </w:rPr>
            </w:pPr>
            <w:r>
              <w:rPr>
                <w:rFonts w:hint="default"/>
                <w:sz w:val="40"/>
                <w:szCs w:val="40"/>
                <w:highlight w:val="none"/>
                <w:vertAlign w:val="baseline"/>
                <w:lang w:val="en"/>
              </w:rPr>
              <w:t>Onycholysis.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jc w:val="center"/>
              <w:rPr>
                <w:rFonts w:hint="default"/>
                <w:sz w:val="40"/>
                <w:szCs w:val="40"/>
                <w:highlight w:val="none"/>
                <w:vertAlign w:val="baseline"/>
                <w:lang w:val="en"/>
              </w:rPr>
            </w:pPr>
            <w:r>
              <w:rPr>
                <w:rFonts w:hint="default"/>
                <w:sz w:val="40"/>
                <w:szCs w:val="40"/>
                <w:highlight w:val="none"/>
                <w:vertAlign w:val="baseline"/>
                <w:lang w:val="en"/>
              </w:rPr>
              <w:t>Palmar erythema.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682" w:type="dxa"/>
            <w:shd w:val="clear" w:color="auto" w:fill="92D050"/>
          </w:tcPr>
          <w:p>
            <w:pPr>
              <w:jc w:val="center"/>
              <w:rPr>
                <w:rFonts w:hint="default"/>
                <w:sz w:val="50"/>
                <w:szCs w:val="50"/>
                <w:highlight w:val="yellow"/>
                <w:vertAlign w:val="baseline"/>
                <w:lang w:val="en"/>
              </w:rPr>
            </w:pPr>
            <w:r>
              <w:rPr>
                <w:rFonts w:hint="default"/>
                <w:sz w:val="40"/>
                <w:szCs w:val="40"/>
                <w:highlight w:val="none"/>
                <w:vertAlign w:val="baseline"/>
                <w:lang w:val="en"/>
              </w:rPr>
              <w:t>Assess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682" w:type="dxa"/>
          </w:tcPr>
          <w:p>
            <w:pPr>
              <w:numPr>
                <w:ilvl w:val="0"/>
                <w:numId w:val="6"/>
              </w:numPr>
              <w:ind w:left="420" w:leftChars="0" w:hanging="420" w:firstLineChars="0"/>
              <w:jc w:val="center"/>
              <w:rPr>
                <w:rFonts w:hint="default"/>
                <w:sz w:val="40"/>
                <w:szCs w:val="40"/>
                <w:highlight w:val="none"/>
                <w:vertAlign w:val="baseline"/>
                <w:lang w:val="en"/>
              </w:rPr>
            </w:pPr>
            <w:r>
              <w:rPr>
                <w:rFonts w:hint="default"/>
                <w:sz w:val="40"/>
                <w:szCs w:val="40"/>
                <w:highlight w:val="none"/>
                <w:vertAlign w:val="baseline"/>
                <w:lang w:val="en"/>
              </w:rPr>
              <w:t>Pulse.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jc w:val="center"/>
              <w:rPr>
                <w:rFonts w:hint="default"/>
                <w:sz w:val="40"/>
                <w:szCs w:val="40"/>
                <w:highlight w:val="none"/>
                <w:vertAlign w:val="baseline"/>
                <w:lang w:val="en"/>
              </w:rPr>
            </w:pPr>
            <w:r>
              <w:rPr>
                <w:rFonts w:hint="default"/>
                <w:sz w:val="40"/>
                <w:szCs w:val="40"/>
                <w:highlight w:val="none"/>
                <w:vertAlign w:val="baseline"/>
                <w:lang w:val="en"/>
              </w:rPr>
              <w:t>Blood pressure.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jc w:val="center"/>
              <w:rPr>
                <w:rFonts w:hint="default"/>
                <w:sz w:val="40"/>
                <w:szCs w:val="40"/>
                <w:highlight w:val="none"/>
                <w:vertAlign w:val="baseline"/>
                <w:lang w:val="en"/>
              </w:rPr>
            </w:pPr>
            <w:r>
              <w:rPr>
                <w:rFonts w:hint="default"/>
                <w:sz w:val="40"/>
                <w:szCs w:val="40"/>
                <w:highlight w:val="none"/>
                <w:vertAlign w:val="baseline"/>
                <w:lang w:val="en"/>
              </w:rPr>
              <w:t>Water hammer pulse.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90" w:hRule="atLeast"/>
        </w:trPr>
        <w:tc>
          <w:tcPr>
            <w:tcW w:w="10682" w:type="dxa"/>
            <w:shd w:val="clear" w:color="auto" w:fill="92D050"/>
          </w:tcPr>
          <w:p>
            <w:pPr>
              <w:jc w:val="center"/>
              <w:rPr>
                <w:rFonts w:hint="default"/>
                <w:sz w:val="50"/>
                <w:szCs w:val="50"/>
                <w:highlight w:val="yellow"/>
                <w:vertAlign w:val="baseline"/>
                <w:lang w:val="en"/>
              </w:rPr>
            </w:pPr>
            <w:r>
              <w:rPr>
                <w:rFonts w:hint="default"/>
                <w:sz w:val="40"/>
                <w:szCs w:val="40"/>
                <w:highlight w:val="none"/>
                <w:vertAlign w:val="baseline"/>
                <w:lang w:val="en"/>
              </w:rPr>
              <w:t>Auscultate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682" w:type="dxa"/>
          </w:tcPr>
          <w:p>
            <w:pPr>
              <w:spacing w:line="360" w:lineRule="auto"/>
              <w:jc w:val="center"/>
              <w:rPr>
                <w:rFonts w:hint="default"/>
                <w:sz w:val="40"/>
                <w:szCs w:val="40"/>
                <w:highlight w:val="none"/>
                <w:vertAlign w:val="baseline"/>
                <w:lang w:val="en"/>
              </w:rPr>
            </w:pPr>
            <w:r>
              <w:rPr>
                <w:rFonts w:hint="default"/>
                <w:sz w:val="40"/>
                <w:szCs w:val="40"/>
                <w:highlight w:val="none"/>
                <w:vertAlign w:val="baseline"/>
                <w:lang w:val="en"/>
              </w:rPr>
              <w:t>The heart apex for mid-systolic flow murmurs in hyperthyroidism.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682" w:type="dxa"/>
            <w:shd w:val="clear" w:color="auto" w:fill="92D050"/>
            <w:vAlign w:val="top"/>
          </w:tcPr>
          <w:p>
            <w:pPr>
              <w:jc w:val="center"/>
              <w:rPr>
                <w:rFonts w:hint="default" w:asciiTheme="minorHAnsi" w:hAnsiTheme="minorHAnsi" w:eastAsiaTheme="minorEastAsia" w:cstheme="minorBidi"/>
                <w:sz w:val="50"/>
                <w:szCs w:val="50"/>
                <w:highlight w:val="yellow"/>
                <w:vertAlign w:val="baseline"/>
                <w:lang w:val="en" w:eastAsia="zh-CN" w:bidi="ar-SA"/>
              </w:rPr>
            </w:pPr>
            <w:r>
              <w:rPr>
                <w:rFonts w:hint="default"/>
                <w:sz w:val="40"/>
                <w:szCs w:val="40"/>
                <w:highlight w:val="none"/>
                <w:vertAlign w:val="baseline"/>
                <w:lang w:val="en"/>
              </w:rPr>
              <w:t>Asses proximal muscles power and deep tendon reflex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0" w:type="auto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sz w:val="50"/>
                <w:szCs w:val="50"/>
                <w:highlight w:val="yellow"/>
                <w:vertAlign w:val="baseline"/>
                <w:lang w:val="en" w:eastAsia="zh-CN" w:bidi="ar-SA"/>
              </w:rPr>
            </w:pPr>
            <w:r>
              <w:drawing>
                <wp:inline distT="0" distB="0" distL="114300" distR="114300">
                  <wp:extent cx="6597015" cy="2204720"/>
                  <wp:effectExtent l="0" t="0" r="13335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7015" cy="220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sz w:val="50"/>
          <w:szCs w:val="50"/>
          <w:highlight w:val="yellow"/>
          <w:lang w:val="en"/>
        </w:rPr>
      </w:pPr>
    </w:p>
    <w:p>
      <w:pPr>
        <w:rPr>
          <w:rFonts w:hint="default"/>
          <w:sz w:val="50"/>
          <w:szCs w:val="50"/>
          <w:highlight w:val="yellow"/>
          <w:lang w:val="en"/>
        </w:rPr>
      </w:pPr>
    </w:p>
    <w:p>
      <w:pPr>
        <w:rPr>
          <w:rFonts w:hint="default"/>
          <w:sz w:val="50"/>
          <w:szCs w:val="50"/>
          <w:highlight w:val="yellow"/>
          <w:lang w:val="en"/>
        </w:rPr>
      </w:pPr>
    </w:p>
    <w:p>
      <w:pPr>
        <w:rPr>
          <w:rFonts w:hint="default"/>
          <w:sz w:val="50"/>
          <w:szCs w:val="50"/>
          <w:highlight w:val="yellow"/>
          <w:lang w:val="en"/>
        </w:rPr>
      </w:pPr>
    </w:p>
    <w:p>
      <w:pPr>
        <w:rPr>
          <w:rFonts w:hint="default"/>
          <w:sz w:val="50"/>
          <w:szCs w:val="50"/>
          <w:highlight w:val="yellow"/>
          <w:lang w:val="en"/>
        </w:rPr>
      </w:pPr>
    </w:p>
    <w:p>
      <w:pPr>
        <w:rPr>
          <w:rFonts w:hint="default"/>
          <w:sz w:val="50"/>
          <w:szCs w:val="50"/>
          <w:highlight w:val="yellow"/>
          <w:lang w:val="en"/>
        </w:rPr>
      </w:pPr>
    </w:p>
    <w:p>
      <w:pPr>
        <w:rPr>
          <w:rFonts w:hint="default"/>
          <w:sz w:val="50"/>
          <w:szCs w:val="50"/>
          <w:highlight w:val="yellow"/>
          <w:lang w:val="en"/>
        </w:rPr>
      </w:pPr>
    </w:p>
    <w:p>
      <w:pPr>
        <w:rPr>
          <w:rFonts w:hint="default"/>
          <w:sz w:val="50"/>
          <w:szCs w:val="50"/>
          <w:highlight w:val="yellow"/>
          <w:lang w:val="en"/>
        </w:rPr>
      </w:pPr>
    </w:p>
    <w:p>
      <w:pPr>
        <w:rPr>
          <w:rFonts w:hint="default"/>
          <w:sz w:val="50"/>
          <w:szCs w:val="50"/>
          <w:highlight w:val="yellow"/>
          <w:lang w:val="en"/>
        </w:rPr>
      </w:pPr>
    </w:p>
    <w:p>
      <w:pPr>
        <w:rPr>
          <w:rFonts w:hint="default"/>
          <w:sz w:val="50"/>
          <w:szCs w:val="50"/>
          <w:highlight w:val="yellow"/>
          <w:lang w:val="en"/>
        </w:rPr>
      </w:pPr>
    </w:p>
    <w:p>
      <w:pPr>
        <w:rPr>
          <w:rFonts w:hint="default"/>
          <w:sz w:val="50"/>
          <w:szCs w:val="50"/>
          <w:highlight w:val="yellow"/>
          <w:lang w:val="en"/>
        </w:rPr>
      </w:pPr>
    </w:p>
    <w:p>
      <w:pPr>
        <w:rPr>
          <w:rFonts w:hint="default"/>
          <w:sz w:val="50"/>
          <w:szCs w:val="50"/>
          <w:highlight w:val="yellow"/>
          <w:lang w:val="en"/>
        </w:rPr>
      </w:pPr>
    </w:p>
    <w:p>
      <w:pPr>
        <w:rPr>
          <w:rFonts w:hint="default"/>
          <w:sz w:val="50"/>
          <w:szCs w:val="50"/>
          <w:highlight w:val="yellow"/>
          <w:lang w:val="en"/>
        </w:rPr>
      </w:pPr>
    </w:p>
    <w:p>
      <w:pPr>
        <w:rPr>
          <w:rFonts w:hint="default"/>
          <w:sz w:val="50"/>
          <w:szCs w:val="50"/>
          <w:highlight w:val="yellow"/>
          <w:lang w:val="en"/>
        </w:rPr>
      </w:pPr>
    </w:p>
    <w:p>
      <w:pPr>
        <w:rPr>
          <w:rFonts w:hint="default"/>
          <w:sz w:val="50"/>
          <w:szCs w:val="50"/>
          <w:highlight w:val="yellow"/>
          <w:lang w:val="en"/>
        </w:rPr>
      </w:pPr>
    </w:p>
    <w:p>
      <w:pPr>
        <w:rPr>
          <w:rFonts w:hint="default"/>
          <w:sz w:val="50"/>
          <w:szCs w:val="50"/>
          <w:highlight w:val="yellow"/>
          <w:lang w:val="en"/>
        </w:rPr>
      </w:pPr>
    </w:p>
    <w:p>
      <w:pPr>
        <w:rPr>
          <w:rFonts w:hint="default"/>
          <w:sz w:val="50"/>
          <w:szCs w:val="50"/>
          <w:highlight w:val="yellow"/>
          <w:lang w:val="en"/>
        </w:rPr>
      </w:pPr>
    </w:p>
    <w:p>
      <w:pPr>
        <w:rPr>
          <w:rFonts w:hint="default"/>
          <w:sz w:val="50"/>
          <w:szCs w:val="50"/>
          <w:highlight w:val="yellow"/>
          <w:lang w:val="en"/>
        </w:rPr>
      </w:pPr>
    </w:p>
    <w:p>
      <w:pPr>
        <w:rPr>
          <w:rFonts w:hint="default"/>
          <w:sz w:val="50"/>
          <w:szCs w:val="50"/>
          <w:highlight w:val="yellow"/>
          <w:lang w:val="en"/>
        </w:rPr>
      </w:pPr>
      <w:r>
        <w:rPr>
          <w:rFonts w:hint="default"/>
          <w:sz w:val="50"/>
          <w:szCs w:val="50"/>
          <w:highlight w:val="yellow"/>
          <w:lang w:val="en"/>
        </w:rPr>
        <w:t>Local Examination :</w:t>
      </w:r>
    </w:p>
    <w:tbl>
      <w:tblPr>
        <w:tblStyle w:val="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0682" w:type="dxa"/>
            <w:shd w:val="clear" w:color="auto" w:fill="92D050"/>
          </w:tcPr>
          <w:p>
            <w:pPr>
              <w:jc w:val="center"/>
              <w:rPr>
                <w:rFonts w:hint="default"/>
                <w:sz w:val="40"/>
                <w:szCs w:val="40"/>
                <w:highlight w:val="none"/>
                <w:vertAlign w:val="baseline"/>
                <w:lang w:val="en"/>
              </w:rPr>
            </w:pPr>
            <w:r>
              <w:rPr>
                <w:rFonts w:hint="default"/>
                <w:sz w:val="40"/>
                <w:szCs w:val="40"/>
                <w:highlight w:val="none"/>
                <w:vertAlign w:val="baseline"/>
                <w:lang w:val="en"/>
              </w:rPr>
              <w:t>Inspection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0682" w:type="dxa"/>
          </w:tcPr>
          <w:p>
            <w:pPr>
              <w:numPr>
                <w:ilvl w:val="0"/>
                <w:numId w:val="6"/>
              </w:numPr>
              <w:ind w:left="420" w:leftChars="0" w:hanging="420" w:firstLineChars="0"/>
              <w:jc w:val="center"/>
              <w:rPr>
                <w:rFonts w:hint="default"/>
                <w:sz w:val="30"/>
                <w:szCs w:val="30"/>
                <w:highlight w:val="none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highlight w:val="none"/>
                <w:vertAlign w:val="baseline"/>
                <w:lang w:val="en"/>
              </w:rPr>
              <w:t>The Neck from the front, look for any asymmetry/scars/swellings.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jc w:val="center"/>
              <w:rPr>
                <w:rFonts w:hint="default"/>
                <w:sz w:val="30"/>
                <w:szCs w:val="30"/>
                <w:highlight w:val="none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highlight w:val="none"/>
                <w:vertAlign w:val="baseline"/>
                <w:lang w:val="en"/>
              </w:rPr>
              <w:t xml:space="preserve">The Neck from the sides, while </w:t>
            </w:r>
            <w:r>
              <w:rPr>
                <w:rFonts w:hint="default"/>
                <w:b/>
                <w:bCs/>
                <w:sz w:val="30"/>
                <w:szCs w:val="30"/>
                <w:highlight w:val="none"/>
                <w:vertAlign w:val="baseline"/>
                <w:lang w:val="en"/>
              </w:rPr>
              <w:t>the neck is slightly extended.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jc w:val="center"/>
              <w:rPr>
                <w:rFonts w:hint="default"/>
                <w:sz w:val="30"/>
                <w:szCs w:val="30"/>
                <w:highlight w:val="none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highlight w:val="none"/>
                <w:vertAlign w:val="baseline"/>
                <w:lang w:val="en"/>
              </w:rPr>
              <w:t xml:space="preserve">The Neck while </w:t>
            </w:r>
            <w:r>
              <w:rPr>
                <w:rFonts w:hint="default"/>
                <w:b/>
                <w:bCs/>
                <w:sz w:val="30"/>
                <w:szCs w:val="30"/>
                <w:highlight w:val="none"/>
                <w:vertAlign w:val="baseline"/>
                <w:lang w:val="en"/>
              </w:rPr>
              <w:t>the patient takes a sip of water and swallow</w:t>
            </w:r>
            <w:r>
              <w:rPr>
                <w:rFonts w:hint="default"/>
                <w:sz w:val="30"/>
                <w:szCs w:val="30"/>
                <w:highlight w:val="none"/>
                <w:vertAlign w:val="baseline"/>
                <w:lang w:val="en"/>
              </w:rPr>
              <w:t>.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jc w:val="center"/>
              <w:rPr>
                <w:rFonts w:hint="default"/>
                <w:sz w:val="30"/>
                <w:szCs w:val="30"/>
                <w:highlight w:val="none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highlight w:val="none"/>
                <w:vertAlign w:val="baseline"/>
                <w:lang w:val="en"/>
              </w:rPr>
              <w:t>Notice the thyroid is moving with the trachea up and down.</w:t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jc w:val="center"/>
              <w:rPr>
                <w:rFonts w:hint="default"/>
                <w:sz w:val="30"/>
                <w:szCs w:val="30"/>
                <w:highlight w:val="none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highlight w:val="none"/>
                <w:vertAlign w:val="baseline"/>
                <w:lang w:val="en"/>
              </w:rPr>
              <w:t xml:space="preserve">Inspect for any </w:t>
            </w:r>
            <w:r>
              <w:rPr>
                <w:rFonts w:hint="default"/>
                <w:b/>
                <w:bCs/>
                <w:sz w:val="30"/>
                <w:szCs w:val="30"/>
                <w:highlight w:val="none"/>
                <w:vertAlign w:val="baseline"/>
                <w:lang w:val="en"/>
              </w:rPr>
              <w:t xml:space="preserve">mass </w:t>
            </w:r>
            <w:r>
              <w:rPr>
                <w:rFonts w:hint="default"/>
                <w:sz w:val="30"/>
                <w:szCs w:val="30"/>
                <w:highlight w:val="none"/>
                <w:vertAlign w:val="baseline"/>
                <w:lang w:val="en"/>
              </w:rPr>
              <w:t xml:space="preserve">in the neck and </w:t>
            </w:r>
            <w:r>
              <w:rPr>
                <w:rFonts w:hint="default"/>
                <w:b/>
                <w:bCs/>
                <w:sz w:val="30"/>
                <w:szCs w:val="30"/>
                <w:highlight w:val="none"/>
                <w:vertAlign w:val="baseline"/>
                <w:lang w:val="en"/>
              </w:rPr>
              <w:t>comment your findings</w:t>
            </w:r>
            <w:r>
              <w:rPr>
                <w:rFonts w:hint="default"/>
                <w:sz w:val="30"/>
                <w:szCs w:val="30"/>
                <w:highlight w:val="none"/>
                <w:vertAlign w:val="baseline"/>
                <w:lang w:val="en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0682" w:type="dxa"/>
            <w:shd w:val="clear" w:color="auto" w:fill="92D050"/>
          </w:tcPr>
          <w:p>
            <w:pPr>
              <w:jc w:val="center"/>
              <w:rPr>
                <w:rFonts w:hint="default"/>
                <w:sz w:val="40"/>
                <w:szCs w:val="40"/>
                <w:highlight w:val="none"/>
                <w:vertAlign w:val="baseline"/>
                <w:lang w:val="en"/>
              </w:rPr>
            </w:pPr>
            <w:r>
              <w:rPr>
                <w:rFonts w:hint="default"/>
                <w:sz w:val="40"/>
                <w:szCs w:val="40"/>
                <w:highlight w:val="none"/>
                <w:vertAlign w:val="baseline"/>
                <w:lang w:val="en"/>
              </w:rPr>
              <w:t>Palpation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0682" w:type="dxa"/>
          </w:tcPr>
          <w:p>
            <w:pPr>
              <w:numPr>
                <w:ilvl w:val="0"/>
                <w:numId w:val="6"/>
              </w:numPr>
              <w:ind w:left="420" w:leftChars="0" w:hanging="420" w:firstLineChars="0"/>
              <w:jc w:val="center"/>
              <w:rPr>
                <w:rFonts w:hint="default"/>
                <w:lang w:val="en"/>
              </w:rPr>
            </w:pPr>
            <w:r>
              <w:rPr>
                <w:rFonts w:hint="default"/>
                <w:sz w:val="30"/>
                <w:szCs w:val="30"/>
                <w:lang w:val="en"/>
              </w:rPr>
              <w:t>Thyroid lobes</w:t>
            </w:r>
          </w:p>
          <w:p>
            <w:pPr>
              <w:numPr>
                <w:numId w:val="0"/>
              </w:numPr>
              <w:ind w:leftChars="0"/>
              <w:jc w:val="center"/>
            </w:pPr>
            <w:r>
              <w:drawing>
                <wp:inline distT="0" distB="0" distL="114300" distR="114300">
                  <wp:extent cx="4483735" cy="3910965"/>
                  <wp:effectExtent l="0" t="0" r="12065" b="13335"/>
                  <wp:docPr id="1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735" cy="3910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6"/>
              </w:numPr>
              <w:ind w:left="420" w:leftChars="0" w:hanging="420" w:firstLineChars="0"/>
              <w:jc w:val="center"/>
              <w:rPr>
                <w:rFonts w:hint="default"/>
                <w:lang w:val="en"/>
              </w:rPr>
            </w:pPr>
            <w:r>
              <w:rPr>
                <w:rFonts w:hint="default"/>
                <w:sz w:val="30"/>
                <w:szCs w:val="30"/>
                <w:lang w:val="en"/>
              </w:rPr>
              <w:t>Lymph nodes</w:t>
            </w:r>
          </w:p>
          <w:tbl>
            <w:tblPr>
              <w:tblStyle w:val="4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left w:w="108" w:type="dxa"/>
                <w:right w:w="108" w:type="dxa"/>
              </w:tblCellMar>
            </w:tblPr>
            <w:tblGrid>
              <w:gridCol w:w="5230"/>
              <w:gridCol w:w="522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left w:w="108" w:type="dxa"/>
                  <w:right w:w="108" w:type="dxa"/>
                </w:tblCellMar>
              </w:tblPrEx>
              <w:tc>
                <w:tcPr>
                  <w:tcW w:w="5233" w:type="dxa"/>
                </w:tcPr>
                <w:p>
                  <w:pPr>
                    <w:numPr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"/>
                    </w:rPr>
                  </w:pPr>
                  <w:r>
                    <w:drawing>
                      <wp:inline distT="0" distB="0" distL="114300" distR="114300">
                        <wp:extent cx="2686050" cy="3007995"/>
                        <wp:effectExtent l="0" t="0" r="0" b="1905"/>
                        <wp:docPr id="11" name="Pictur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Picture 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86050" cy="30079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233" w:type="dxa"/>
                </w:tcPr>
                <w:p>
                  <w:pPr>
                    <w:numPr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"/>
                    </w:rPr>
                  </w:pPr>
                  <w:r>
                    <w:drawing>
                      <wp:inline distT="0" distB="0" distL="114300" distR="114300">
                        <wp:extent cx="2160905" cy="3098800"/>
                        <wp:effectExtent l="0" t="0" r="10795" b="6350"/>
                        <wp:docPr id="12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60905" cy="3098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numPr>
                <w:numId w:val="0"/>
              </w:numPr>
              <w:ind w:leftChars="0"/>
              <w:jc w:val="both"/>
              <w:rPr>
                <w:rFonts w:hint="default"/>
                <w:lang w:val="en"/>
              </w:rPr>
            </w:pPr>
          </w:p>
          <w:p>
            <w:pPr>
              <w:numPr>
                <w:numId w:val="0"/>
              </w:numPr>
              <w:ind w:leftChars="0"/>
              <w:jc w:val="both"/>
              <w:rPr>
                <w:rFonts w:hint="default"/>
                <w:lang w:val="e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0682" w:type="dxa"/>
            <w:shd w:val="clear" w:color="auto" w:fill="92D050"/>
          </w:tcPr>
          <w:p>
            <w:pPr>
              <w:jc w:val="center"/>
              <w:rPr>
                <w:rFonts w:hint="default"/>
                <w:sz w:val="40"/>
                <w:szCs w:val="40"/>
                <w:highlight w:val="none"/>
                <w:vertAlign w:val="baseline"/>
                <w:lang w:val="en"/>
              </w:rPr>
            </w:pPr>
            <w:r>
              <w:rPr>
                <w:rFonts w:hint="default"/>
                <w:sz w:val="40"/>
                <w:szCs w:val="40"/>
                <w:highlight w:val="none"/>
                <w:vertAlign w:val="baseline"/>
                <w:lang w:val="en"/>
              </w:rPr>
              <w:t>Percussion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0682" w:type="dxa"/>
          </w:tcPr>
          <w:p>
            <w:pPr>
              <w:jc w:val="center"/>
              <w:rPr>
                <w:rFonts w:hint="default"/>
                <w:sz w:val="40"/>
                <w:szCs w:val="40"/>
                <w:highlight w:val="none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highlight w:val="none"/>
                <w:vertAlign w:val="baseline"/>
                <w:lang w:val="en"/>
              </w:rPr>
              <w:t>Percussion over the sternum for retrosternal extension of the goiter (may express some compression symptoms)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0682" w:type="dxa"/>
            <w:shd w:val="clear" w:color="auto" w:fill="92D050"/>
          </w:tcPr>
          <w:p>
            <w:pPr>
              <w:jc w:val="center"/>
              <w:rPr>
                <w:rFonts w:hint="default"/>
                <w:sz w:val="40"/>
                <w:szCs w:val="40"/>
                <w:highlight w:val="none"/>
                <w:vertAlign w:val="baseline"/>
                <w:lang w:val="en"/>
              </w:rPr>
            </w:pPr>
            <w:r>
              <w:rPr>
                <w:rFonts w:hint="default"/>
                <w:sz w:val="40"/>
                <w:szCs w:val="40"/>
                <w:highlight w:val="none"/>
                <w:vertAlign w:val="baseline"/>
                <w:lang w:val="en"/>
              </w:rPr>
              <w:t>Auscultation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0682" w:type="dxa"/>
          </w:tcPr>
          <w:p>
            <w:pPr>
              <w:jc w:val="center"/>
              <w:rPr>
                <w:rFonts w:hint="default"/>
                <w:sz w:val="40"/>
                <w:szCs w:val="40"/>
                <w:highlight w:val="none"/>
                <w:vertAlign w:val="baseline"/>
                <w:lang w:val="en"/>
              </w:rPr>
            </w:pPr>
            <w:r>
              <w:rPr>
                <w:rFonts w:hint="default"/>
                <w:sz w:val="30"/>
                <w:szCs w:val="30"/>
                <w:highlight w:val="none"/>
                <w:vertAlign w:val="baseline"/>
                <w:lang w:val="en"/>
              </w:rPr>
              <w:t>If the thyroid gland is enlarged, over the thyroid lateral lobes to identify bruits, a sign of hyperthyroidism</w:t>
            </w:r>
          </w:p>
        </w:tc>
      </w:tr>
    </w:tbl>
    <w:p>
      <w:pPr>
        <w:rPr>
          <w:rFonts w:hint="default"/>
          <w:sz w:val="50"/>
          <w:szCs w:val="50"/>
          <w:highlight w:val="yellow"/>
          <w:lang w:val="en"/>
        </w:rPr>
      </w:pPr>
    </w:p>
    <w:p>
      <w:pPr>
        <w:rPr>
          <w:rFonts w:hint="default"/>
          <w:sz w:val="50"/>
          <w:szCs w:val="50"/>
          <w:highlight w:val="yellow"/>
          <w:lang w:val="en"/>
        </w:rPr>
      </w:pPr>
      <w:r>
        <w:rPr>
          <w:rFonts w:hint="default"/>
          <w:sz w:val="50"/>
          <w:szCs w:val="50"/>
          <w:highlight w:val="yellow"/>
          <w:lang w:val="en"/>
        </w:rPr>
        <w:t xml:space="preserve">Comment on thyroid lump : </w:t>
      </w:r>
    </w:p>
    <w:p>
      <w:pPr>
        <w:numPr>
          <w:ilvl w:val="0"/>
          <w:numId w:val="0"/>
        </w:numPr>
        <w:jc w:val="left"/>
        <w:rPr>
          <w:rFonts w:hint="default"/>
          <w:sz w:val="40"/>
          <w:szCs w:val="40"/>
          <w:lang w:val="en"/>
        </w:rPr>
      </w:pPr>
      <w:r>
        <w:rPr>
          <w:rFonts w:hint="default"/>
          <w:sz w:val="40"/>
          <w:szCs w:val="40"/>
          <w:lang w:val="en"/>
        </w:rPr>
        <w:t>--&gt; Onset (When it first appears ?).</w:t>
      </w:r>
    </w:p>
    <w:p>
      <w:pPr>
        <w:numPr>
          <w:ilvl w:val="0"/>
          <w:numId w:val="0"/>
        </w:numPr>
        <w:jc w:val="left"/>
        <w:rPr>
          <w:rFonts w:hint="default"/>
          <w:sz w:val="40"/>
          <w:szCs w:val="40"/>
          <w:lang w:val="en"/>
        </w:rPr>
      </w:pPr>
      <w:r>
        <w:rPr>
          <w:rFonts w:hint="default"/>
          <w:sz w:val="40"/>
          <w:szCs w:val="40"/>
          <w:lang w:val="en"/>
        </w:rPr>
        <w:t>--&gt; Number (How many lumps out there ?).</w:t>
      </w:r>
    </w:p>
    <w:p>
      <w:pPr>
        <w:numPr>
          <w:ilvl w:val="0"/>
          <w:numId w:val="0"/>
        </w:numPr>
        <w:jc w:val="left"/>
        <w:rPr>
          <w:rFonts w:hint="default"/>
          <w:sz w:val="40"/>
          <w:szCs w:val="40"/>
          <w:lang w:val="en"/>
        </w:rPr>
      </w:pPr>
      <w:r>
        <w:rPr>
          <w:rFonts w:hint="default"/>
          <w:sz w:val="40"/>
          <w:szCs w:val="40"/>
          <w:lang w:val="en"/>
        </w:rPr>
        <w:t>--&gt; Size (How big ?).</w:t>
      </w:r>
    </w:p>
    <w:p>
      <w:pPr>
        <w:numPr>
          <w:ilvl w:val="0"/>
          <w:numId w:val="0"/>
        </w:numPr>
        <w:jc w:val="left"/>
        <w:rPr>
          <w:rFonts w:hint="default"/>
          <w:sz w:val="40"/>
          <w:szCs w:val="40"/>
          <w:lang w:val="en"/>
        </w:rPr>
      </w:pPr>
      <w:r>
        <w:rPr>
          <w:rFonts w:hint="default"/>
          <w:sz w:val="40"/>
          <w:szCs w:val="40"/>
          <w:lang w:val="en"/>
        </w:rPr>
        <w:t>--&gt; Location (Where ?).</w:t>
      </w:r>
    </w:p>
    <w:p>
      <w:pPr>
        <w:numPr>
          <w:ilvl w:val="0"/>
          <w:numId w:val="0"/>
        </w:numPr>
        <w:jc w:val="left"/>
        <w:rPr>
          <w:rFonts w:hint="default"/>
          <w:sz w:val="40"/>
          <w:szCs w:val="40"/>
          <w:lang w:val="en"/>
        </w:rPr>
      </w:pPr>
      <w:r>
        <w:rPr>
          <w:rFonts w:hint="default"/>
          <w:sz w:val="40"/>
          <w:szCs w:val="40"/>
          <w:lang w:val="en"/>
        </w:rPr>
        <w:t>--&gt; Consistency (Soft, firm or hard).</w:t>
      </w:r>
    </w:p>
    <w:p>
      <w:pPr>
        <w:numPr>
          <w:ilvl w:val="0"/>
          <w:numId w:val="0"/>
        </w:numPr>
        <w:jc w:val="left"/>
        <w:rPr>
          <w:rFonts w:hint="default"/>
          <w:sz w:val="40"/>
          <w:szCs w:val="40"/>
          <w:lang w:val="en"/>
        </w:rPr>
      </w:pPr>
      <w:r>
        <w:rPr>
          <w:rFonts w:hint="default"/>
          <w:sz w:val="40"/>
          <w:szCs w:val="40"/>
          <w:lang w:val="en"/>
        </w:rPr>
        <w:t>--&gt; Course (increasing in size ?).</w:t>
      </w:r>
    </w:p>
    <w:p>
      <w:pPr>
        <w:numPr>
          <w:ilvl w:val="0"/>
          <w:numId w:val="0"/>
        </w:numPr>
        <w:jc w:val="left"/>
        <w:rPr>
          <w:rFonts w:hint="default"/>
          <w:sz w:val="40"/>
          <w:szCs w:val="40"/>
          <w:lang w:val="en"/>
        </w:rPr>
      </w:pPr>
      <w:r>
        <w:rPr>
          <w:rFonts w:hint="default"/>
          <w:sz w:val="40"/>
          <w:szCs w:val="40"/>
          <w:lang w:val="en"/>
        </w:rPr>
        <w:t>--&gt; Tenderness (is it sore to touch ?).</w:t>
      </w:r>
    </w:p>
    <w:p>
      <w:pPr>
        <w:numPr>
          <w:ilvl w:val="0"/>
          <w:numId w:val="0"/>
        </w:numPr>
        <w:jc w:val="left"/>
        <w:rPr>
          <w:rFonts w:hint="default"/>
          <w:sz w:val="40"/>
          <w:szCs w:val="40"/>
          <w:lang w:val="en"/>
        </w:rPr>
      </w:pPr>
      <w:r>
        <w:rPr>
          <w:rFonts w:hint="default"/>
          <w:sz w:val="40"/>
          <w:szCs w:val="40"/>
          <w:lang w:val="en"/>
        </w:rPr>
        <w:t xml:space="preserve">--&gt; Relation to surroundings (mobile or fixed to the surroundings). </w:t>
      </w:r>
    </w:p>
    <w:p>
      <w:pPr>
        <w:numPr>
          <w:ilvl w:val="0"/>
          <w:numId w:val="0"/>
        </w:numPr>
        <w:jc w:val="left"/>
        <w:rPr>
          <w:rFonts w:hint="default"/>
          <w:sz w:val="40"/>
          <w:szCs w:val="40"/>
          <w:lang w:val="en"/>
        </w:rPr>
      </w:pPr>
      <w:r>
        <w:rPr>
          <w:rFonts w:hint="default"/>
          <w:sz w:val="40"/>
          <w:szCs w:val="40"/>
          <w:lang w:val="en"/>
        </w:rPr>
        <w:t>--&gt; Associated Symptoms (pain/skin changes/hoarsness of voice/stridor/breathlessness episodes/hotness</w:t>
      </w:r>
      <w:bookmarkStart w:id="0" w:name="_GoBack"/>
      <w:bookmarkEnd w:id="0"/>
      <w:r>
        <w:rPr>
          <w:rFonts w:hint="default"/>
          <w:sz w:val="40"/>
          <w:szCs w:val="40"/>
          <w:lang w:val="en"/>
        </w:rPr>
        <w:t xml:space="preserve"> ?).</w:t>
      </w:r>
    </w:p>
    <w:p>
      <w:pPr>
        <w:numPr>
          <w:ilvl w:val="0"/>
          <w:numId w:val="0"/>
        </w:numPr>
        <w:jc w:val="left"/>
        <w:rPr>
          <w:rFonts w:hint="default"/>
          <w:sz w:val="40"/>
          <w:szCs w:val="40"/>
          <w:lang w:val="en"/>
        </w:rPr>
      </w:pPr>
      <w:r>
        <w:drawing>
          <wp:inline distT="0" distB="0" distL="114300" distR="114300">
            <wp:extent cx="5859780" cy="2464435"/>
            <wp:effectExtent l="0" t="0" r="7620" b="12065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50"/>
          <w:szCs w:val="50"/>
          <w:highlight w:val="yellow"/>
          <w:lang w:val="en"/>
        </w:rPr>
      </w:pPr>
    </w:p>
    <w:p>
      <w:pPr>
        <w:rPr>
          <w:rFonts w:hint="default"/>
          <w:sz w:val="50"/>
          <w:szCs w:val="50"/>
          <w:highlight w:val="yellow"/>
          <w:lang w:val="en"/>
        </w:rPr>
      </w:pPr>
    </w:p>
    <w:p>
      <w:pPr>
        <w:rPr>
          <w:rFonts w:hint="default"/>
          <w:sz w:val="50"/>
          <w:szCs w:val="50"/>
          <w:highlight w:val="yellow"/>
          <w:lang w:val="en"/>
        </w:rPr>
      </w:pPr>
    </w:p>
    <w:p>
      <w:pPr>
        <w:rPr>
          <w:rFonts w:hint="default"/>
          <w:sz w:val="50"/>
          <w:szCs w:val="50"/>
          <w:highlight w:val="yellow"/>
          <w:lang w:val="en"/>
        </w:rPr>
      </w:pPr>
    </w:p>
    <w:p>
      <w:pPr>
        <w:rPr>
          <w:rFonts w:hint="default"/>
          <w:sz w:val="50"/>
          <w:szCs w:val="50"/>
          <w:highlight w:val="yellow"/>
          <w:lang w:val="en"/>
        </w:rPr>
      </w:pPr>
    </w:p>
    <w:p>
      <w:pPr>
        <w:rPr>
          <w:rFonts w:hint="default"/>
          <w:sz w:val="50"/>
          <w:szCs w:val="50"/>
          <w:highlight w:val="yellow"/>
          <w:lang w:val="en"/>
        </w:rPr>
      </w:pPr>
    </w:p>
    <w:p>
      <w:pPr>
        <w:rPr>
          <w:rFonts w:hint="default"/>
          <w:sz w:val="50"/>
          <w:szCs w:val="50"/>
          <w:highlight w:val="yellow"/>
          <w:lang w:val="en"/>
        </w:rPr>
      </w:pPr>
    </w:p>
    <w:p>
      <w:pPr>
        <w:rPr>
          <w:rFonts w:hint="default"/>
          <w:sz w:val="50"/>
          <w:szCs w:val="50"/>
          <w:highlight w:val="yellow"/>
          <w:lang w:val="en"/>
        </w:rPr>
      </w:pPr>
    </w:p>
    <w:p>
      <w:pPr>
        <w:rPr>
          <w:rFonts w:hint="default"/>
          <w:sz w:val="50"/>
          <w:szCs w:val="50"/>
          <w:highlight w:val="yellow"/>
          <w:lang w:val="en"/>
        </w:rPr>
      </w:pPr>
    </w:p>
    <w:p>
      <w:pPr>
        <w:jc w:val="center"/>
        <w:rPr>
          <w:rFonts w:hint="default"/>
          <w:sz w:val="50"/>
          <w:szCs w:val="50"/>
          <w:highlight w:val="none"/>
          <w:bdr w:val="single" w:sz="4" w:space="0"/>
          <w:shd w:val="clear" w:fill="70AD47" w:themeFill="accent6"/>
          <w:lang w:val="en"/>
        </w:rPr>
      </w:pPr>
      <w:r>
        <w:rPr>
          <w:rFonts w:hint="default"/>
          <w:sz w:val="50"/>
          <w:szCs w:val="50"/>
          <w:highlight w:val="none"/>
          <w:bdr w:val="single" w:sz="4" w:space="0"/>
          <w:shd w:val="clear" w:fill="92D050"/>
          <w:lang w:val="en"/>
        </w:rPr>
        <w:t>Thumbnails</w:t>
      </w:r>
      <w:r>
        <w:drawing>
          <wp:inline distT="0" distB="0" distL="114300" distR="114300">
            <wp:extent cx="6591300" cy="5286375"/>
            <wp:effectExtent l="0" t="0" r="0" b="952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71975" cy="6324600"/>
            <wp:effectExtent l="0" t="0" r="9525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39560" cy="5330825"/>
            <wp:effectExtent l="0" t="0" r="8890" b="317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3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3DA368E"/>
    <w:multiLevelType w:val="singleLevel"/>
    <w:tmpl w:val="D3DA368E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DDEF9CEC"/>
    <w:multiLevelType w:val="singleLevel"/>
    <w:tmpl w:val="DDEF9CEC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DEEB911A"/>
    <w:multiLevelType w:val="singleLevel"/>
    <w:tmpl w:val="DEEB911A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18" w:leftChars="0" w:hanging="418" w:firstLineChars="0"/>
      </w:pPr>
      <w:rPr>
        <w:rFonts w:hint="default" w:ascii="Wingdings" w:hAnsi="Wingdings"/>
      </w:rPr>
    </w:lvl>
  </w:abstractNum>
  <w:abstractNum w:abstractNumId="3">
    <w:nsid w:val="EFF9B014"/>
    <w:multiLevelType w:val="singleLevel"/>
    <w:tmpl w:val="EFF9B01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FFED4520"/>
    <w:multiLevelType w:val="singleLevel"/>
    <w:tmpl w:val="FFED4520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FFF0A9B1"/>
    <w:multiLevelType w:val="singleLevel"/>
    <w:tmpl w:val="FFF0A9B1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FFF6548"/>
    <w:rsid w:val="0F7FF936"/>
    <w:rsid w:val="0FFF7E87"/>
    <w:rsid w:val="11B7F316"/>
    <w:rsid w:val="15FF4806"/>
    <w:rsid w:val="16BF24EC"/>
    <w:rsid w:val="177FACC7"/>
    <w:rsid w:val="17BE00FA"/>
    <w:rsid w:val="17FFE614"/>
    <w:rsid w:val="19DB4089"/>
    <w:rsid w:val="19E790C6"/>
    <w:rsid w:val="19EB6633"/>
    <w:rsid w:val="1BDFFD71"/>
    <w:rsid w:val="1DBBB276"/>
    <w:rsid w:val="1EB7731E"/>
    <w:rsid w:val="1FD3F87E"/>
    <w:rsid w:val="1FF7D470"/>
    <w:rsid w:val="1FFCC525"/>
    <w:rsid w:val="237D3EF5"/>
    <w:rsid w:val="27E796A9"/>
    <w:rsid w:val="27FE2846"/>
    <w:rsid w:val="29CE2F4F"/>
    <w:rsid w:val="2BAFEBDC"/>
    <w:rsid w:val="2BB3B940"/>
    <w:rsid w:val="2EFB2D38"/>
    <w:rsid w:val="2FCDC985"/>
    <w:rsid w:val="2FFF9E10"/>
    <w:rsid w:val="30DFAC31"/>
    <w:rsid w:val="34DF49AB"/>
    <w:rsid w:val="375D5790"/>
    <w:rsid w:val="37748867"/>
    <w:rsid w:val="37F96FE9"/>
    <w:rsid w:val="39F6AF57"/>
    <w:rsid w:val="3BEB31DC"/>
    <w:rsid w:val="3C2B394C"/>
    <w:rsid w:val="3D488E65"/>
    <w:rsid w:val="3D9BCE4F"/>
    <w:rsid w:val="3DBF7D8D"/>
    <w:rsid w:val="3DCE8F56"/>
    <w:rsid w:val="3DD32740"/>
    <w:rsid w:val="3E6DF943"/>
    <w:rsid w:val="3EFD4379"/>
    <w:rsid w:val="3F7DE275"/>
    <w:rsid w:val="3FCD3E43"/>
    <w:rsid w:val="3FFCBC69"/>
    <w:rsid w:val="3FFFFABF"/>
    <w:rsid w:val="43FB41C1"/>
    <w:rsid w:val="45EC3F9E"/>
    <w:rsid w:val="47DEE015"/>
    <w:rsid w:val="4BB0DFA8"/>
    <w:rsid w:val="51FFE303"/>
    <w:rsid w:val="55EB6438"/>
    <w:rsid w:val="5666664B"/>
    <w:rsid w:val="577C843D"/>
    <w:rsid w:val="59FFED9D"/>
    <w:rsid w:val="5BE7D3F4"/>
    <w:rsid w:val="5BFB43E2"/>
    <w:rsid w:val="5BFD9098"/>
    <w:rsid w:val="5D998139"/>
    <w:rsid w:val="5DFEEAED"/>
    <w:rsid w:val="5E7B46C7"/>
    <w:rsid w:val="5EDE8A4B"/>
    <w:rsid w:val="5EE3B66E"/>
    <w:rsid w:val="5F6E1619"/>
    <w:rsid w:val="5FF90663"/>
    <w:rsid w:val="5FFFA6C4"/>
    <w:rsid w:val="62F73E2C"/>
    <w:rsid w:val="633B15A2"/>
    <w:rsid w:val="65753230"/>
    <w:rsid w:val="65EABDFF"/>
    <w:rsid w:val="65FF0A68"/>
    <w:rsid w:val="678FF0ED"/>
    <w:rsid w:val="679ED5CB"/>
    <w:rsid w:val="67DF9800"/>
    <w:rsid w:val="67F7D1E2"/>
    <w:rsid w:val="6AFE2D9A"/>
    <w:rsid w:val="6B9F7221"/>
    <w:rsid w:val="6BE78211"/>
    <w:rsid w:val="6BF3A64A"/>
    <w:rsid w:val="6CBE2A49"/>
    <w:rsid w:val="6CFBDCD6"/>
    <w:rsid w:val="6D1F4833"/>
    <w:rsid w:val="6E976EA6"/>
    <w:rsid w:val="6EE8E902"/>
    <w:rsid w:val="6EEB4B46"/>
    <w:rsid w:val="6F1B07E2"/>
    <w:rsid w:val="6F534971"/>
    <w:rsid w:val="6FD342A7"/>
    <w:rsid w:val="6FDF8EA5"/>
    <w:rsid w:val="6FF147E8"/>
    <w:rsid w:val="6FFB187D"/>
    <w:rsid w:val="70F7668D"/>
    <w:rsid w:val="724F5FC3"/>
    <w:rsid w:val="727D9E7F"/>
    <w:rsid w:val="72BF4819"/>
    <w:rsid w:val="737FA6EC"/>
    <w:rsid w:val="73D69AD9"/>
    <w:rsid w:val="745F0EE4"/>
    <w:rsid w:val="75345A33"/>
    <w:rsid w:val="75A7D796"/>
    <w:rsid w:val="75FFCA26"/>
    <w:rsid w:val="767E4BF4"/>
    <w:rsid w:val="76F5F287"/>
    <w:rsid w:val="76FEF7A9"/>
    <w:rsid w:val="770FCC3C"/>
    <w:rsid w:val="7733CB97"/>
    <w:rsid w:val="77399637"/>
    <w:rsid w:val="7775807B"/>
    <w:rsid w:val="77BBBFB8"/>
    <w:rsid w:val="77BF4783"/>
    <w:rsid w:val="77D3D522"/>
    <w:rsid w:val="77DF81BE"/>
    <w:rsid w:val="77F74211"/>
    <w:rsid w:val="78762F6B"/>
    <w:rsid w:val="793B89B4"/>
    <w:rsid w:val="797FF2B0"/>
    <w:rsid w:val="7B3697A2"/>
    <w:rsid w:val="7B8F325D"/>
    <w:rsid w:val="7BAFE0CC"/>
    <w:rsid w:val="7BBE5E78"/>
    <w:rsid w:val="7BD4E33B"/>
    <w:rsid w:val="7BD74FB4"/>
    <w:rsid w:val="7BFBBB70"/>
    <w:rsid w:val="7BFEADA8"/>
    <w:rsid w:val="7CC7E6CA"/>
    <w:rsid w:val="7D3D1C15"/>
    <w:rsid w:val="7D660DAC"/>
    <w:rsid w:val="7E179D18"/>
    <w:rsid w:val="7E3DD313"/>
    <w:rsid w:val="7E7302F7"/>
    <w:rsid w:val="7E7F8A3F"/>
    <w:rsid w:val="7EBB7D5B"/>
    <w:rsid w:val="7ED9E677"/>
    <w:rsid w:val="7EEB07C2"/>
    <w:rsid w:val="7EF71DE1"/>
    <w:rsid w:val="7F1F221E"/>
    <w:rsid w:val="7F7D7F3C"/>
    <w:rsid w:val="7F8FF811"/>
    <w:rsid w:val="7FA56479"/>
    <w:rsid w:val="7FA7FACC"/>
    <w:rsid w:val="7FB9D4F9"/>
    <w:rsid w:val="7FDF6F9E"/>
    <w:rsid w:val="7FE701FD"/>
    <w:rsid w:val="7FF7E9A2"/>
    <w:rsid w:val="7FFA4FA7"/>
    <w:rsid w:val="7FFF01C6"/>
    <w:rsid w:val="8B70129C"/>
    <w:rsid w:val="8B86008C"/>
    <w:rsid w:val="8D7F932B"/>
    <w:rsid w:val="97FE01C4"/>
    <w:rsid w:val="9AE78236"/>
    <w:rsid w:val="9FDE3046"/>
    <w:rsid w:val="A3F641AE"/>
    <w:rsid w:val="A72F7127"/>
    <w:rsid w:val="AAB79928"/>
    <w:rsid w:val="ABFB86A5"/>
    <w:rsid w:val="AD9799F7"/>
    <w:rsid w:val="AE1D9530"/>
    <w:rsid w:val="AFADC190"/>
    <w:rsid w:val="AFEBF6CE"/>
    <w:rsid w:val="AFFFF2DE"/>
    <w:rsid w:val="B6B6B5D9"/>
    <w:rsid w:val="B73EA0D4"/>
    <w:rsid w:val="B7EE75EC"/>
    <w:rsid w:val="BA7A9613"/>
    <w:rsid w:val="BB7BCB05"/>
    <w:rsid w:val="BB9F4C23"/>
    <w:rsid w:val="BBBF290E"/>
    <w:rsid w:val="BDEE9C9D"/>
    <w:rsid w:val="BEEB8223"/>
    <w:rsid w:val="BFD9DAB6"/>
    <w:rsid w:val="BFDB9F4B"/>
    <w:rsid w:val="BFE9C6A9"/>
    <w:rsid w:val="BFFF6548"/>
    <w:rsid w:val="BFFFB0F3"/>
    <w:rsid w:val="C77BB029"/>
    <w:rsid w:val="C9DE09DD"/>
    <w:rsid w:val="C9FFA670"/>
    <w:rsid w:val="CEFEBF1B"/>
    <w:rsid w:val="CFF754E1"/>
    <w:rsid w:val="CFF7F1EE"/>
    <w:rsid w:val="D734D840"/>
    <w:rsid w:val="D7FD0E55"/>
    <w:rsid w:val="D7FDBBB1"/>
    <w:rsid w:val="D97A73CE"/>
    <w:rsid w:val="DEFE0E84"/>
    <w:rsid w:val="DF3D6739"/>
    <w:rsid w:val="DF5F5CA7"/>
    <w:rsid w:val="DF6B0433"/>
    <w:rsid w:val="DF9FD84E"/>
    <w:rsid w:val="DFB7232A"/>
    <w:rsid w:val="DFBB0322"/>
    <w:rsid w:val="DFBB383F"/>
    <w:rsid w:val="DFCE62B6"/>
    <w:rsid w:val="DFCEBAE0"/>
    <w:rsid w:val="DFEB1DE4"/>
    <w:rsid w:val="DFEFFF3E"/>
    <w:rsid w:val="DFFCF577"/>
    <w:rsid w:val="E41F5678"/>
    <w:rsid w:val="E5DB0E87"/>
    <w:rsid w:val="E5F63C72"/>
    <w:rsid w:val="E77F6159"/>
    <w:rsid w:val="E7E31A69"/>
    <w:rsid w:val="E7FF9843"/>
    <w:rsid w:val="EAFF7C5B"/>
    <w:rsid w:val="EBBB2A90"/>
    <w:rsid w:val="EC2B38B8"/>
    <w:rsid w:val="EC7E17E8"/>
    <w:rsid w:val="EDDEDEB3"/>
    <w:rsid w:val="EDDEED33"/>
    <w:rsid w:val="EDEF585A"/>
    <w:rsid w:val="EEBFA929"/>
    <w:rsid w:val="EFA9EF6A"/>
    <w:rsid w:val="EFBB4F35"/>
    <w:rsid w:val="EFCEC6D9"/>
    <w:rsid w:val="EFDB7CBD"/>
    <w:rsid w:val="EFEE9FDF"/>
    <w:rsid w:val="F33B6F5F"/>
    <w:rsid w:val="F3EB5535"/>
    <w:rsid w:val="F3F249CA"/>
    <w:rsid w:val="F48D3C82"/>
    <w:rsid w:val="F5F47535"/>
    <w:rsid w:val="F5F9ABCD"/>
    <w:rsid w:val="F6D65327"/>
    <w:rsid w:val="F6DEE576"/>
    <w:rsid w:val="F6FD8A51"/>
    <w:rsid w:val="F70EB283"/>
    <w:rsid w:val="F76F78CA"/>
    <w:rsid w:val="F77F5E2C"/>
    <w:rsid w:val="F7BF1A5C"/>
    <w:rsid w:val="F7E747F8"/>
    <w:rsid w:val="F7FDC741"/>
    <w:rsid w:val="F7FDCD85"/>
    <w:rsid w:val="F9DB5F8B"/>
    <w:rsid w:val="FA0385A1"/>
    <w:rsid w:val="FA7B4B7F"/>
    <w:rsid w:val="FAF5D8D8"/>
    <w:rsid w:val="FB2BB174"/>
    <w:rsid w:val="FB57266D"/>
    <w:rsid w:val="FBDBB910"/>
    <w:rsid w:val="FBF3AA86"/>
    <w:rsid w:val="FBF54380"/>
    <w:rsid w:val="FBFD24EA"/>
    <w:rsid w:val="FBFEB8EC"/>
    <w:rsid w:val="FBFF23DC"/>
    <w:rsid w:val="FBFF9C81"/>
    <w:rsid w:val="FD673BA9"/>
    <w:rsid w:val="FDBF6835"/>
    <w:rsid w:val="FDFDA5F2"/>
    <w:rsid w:val="FE763F83"/>
    <w:rsid w:val="FEF6FC55"/>
    <w:rsid w:val="FEFC74B0"/>
    <w:rsid w:val="FEFF3159"/>
    <w:rsid w:val="FEFF6D17"/>
    <w:rsid w:val="FF3E30DE"/>
    <w:rsid w:val="FF3F5755"/>
    <w:rsid w:val="FF472562"/>
    <w:rsid w:val="FF57D887"/>
    <w:rsid w:val="FF788F51"/>
    <w:rsid w:val="FF8C3ADA"/>
    <w:rsid w:val="FF8DFC1F"/>
    <w:rsid w:val="FF9F9DBE"/>
    <w:rsid w:val="FFBA94DA"/>
    <w:rsid w:val="FFBEBEF6"/>
    <w:rsid w:val="FFDB6B3F"/>
    <w:rsid w:val="FFED5AC8"/>
    <w:rsid w:val="FFEECD76"/>
    <w:rsid w:val="FFFBA401"/>
    <w:rsid w:val="FFFD14F6"/>
    <w:rsid w:val="FFFDB961"/>
    <w:rsid w:val="FFFE5EB3"/>
    <w:rsid w:val="FFFF0DEF"/>
    <w:rsid w:val="FFFFE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477</Words>
  <Characters>3149</Characters>
  <Lines>0</Lines>
  <Paragraphs>0</Paragraphs>
  <TotalTime>0</TotalTime>
  <ScaleCrop>false</ScaleCrop>
  <LinksUpToDate>false</LinksUpToDate>
  <CharactersWithSpaces>3505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2022-03-28T22:19:00Z</dcterms:created>
  <dc:creator>pavl</dc:creator>
  <cp:lastModifiedBy>pavl</cp:lastModifiedBy>
  <dcterms:modified xsi:type="dcterms:W3CDTF">2022-03-29T19:50:12Z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