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6"/>
          <w:szCs w:val="36"/>
          <w:b w:val="1"/>
          <w:bCs w:val="1"/>
          <w:color w:val="auto"/>
        </w:rPr>
        <w:t>BRIEF DESCRIPTION OF THE DRAWINGS</w:t>
      </w:r>
    </w:p>
    <w:p>
      <w:pPr>
        <w:spacing w:after="0" w:line="290" w:lineRule="exact"/>
        <w:rPr>
          <w:sz w:val="24"/>
          <w:szCs w:val="24"/>
          <w:color w:val="auto"/>
        </w:rPr>
      </w:pPr>
    </w:p>
    <w:p>
      <w:pPr>
        <w:ind w:right="540"/>
        <w:spacing w:after="0" w:line="322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MULTI-DOMAIN AUTHENTICATION AND AUTHORIZATION SYSTEM WITH CREDENTIAL PORTABILITY FOR AI AGENT NETWORKS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6858000" cy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FIGURE 1 - System Architecture Overview</w:t>
      </w:r>
    </w:p>
    <w:p>
      <w:pPr>
        <w:spacing w:after="0" w:line="233" w:lineRule="exact"/>
        <w:rPr>
          <w:sz w:val="24"/>
          <w:szCs w:val="24"/>
          <w:color w:val="auto"/>
        </w:rPr>
      </w:pPr>
    </w:p>
    <w:p>
      <w:pPr>
        <w:ind w:right="380"/>
        <w:spacing w:after="0" w:line="360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Figure 1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illustrates the complete system architecture 100 for multi-domain authentication of AI agent networks, showing: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b w:val="1"/>
          <w:bCs w:val="1"/>
          <w:color w:val="auto"/>
        </w:rPr>
        <w:t>Universal Identity Abstraction Layer (102):</w:t>
      </w:r>
      <w:r>
        <w:rPr>
          <w:rFonts w:ascii="Segoe UI" w:cs="Segoe UI" w:eastAsia="Segoe UI" w:hAnsi="Segoe UI"/>
          <w:sz w:val="23"/>
          <w:szCs w:val="23"/>
          <w:color w:val="auto"/>
        </w:rPr>
        <w:t xml:space="preserve"> Central component generating UIDs for AI agents (112)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-72390</wp:posOffset>
            </wp:positionV>
            <wp:extent cx="57150" cy="571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7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and human users (114)</w:t>
      </w:r>
    </w:p>
    <w:p>
      <w:pPr>
        <w:spacing w:after="0" w:line="153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b w:val="1"/>
          <w:bCs w:val="1"/>
          <w:color w:val="auto"/>
        </w:rPr>
        <w:t>Credential Translation Engine (104):</w:t>
      </w:r>
      <w:r>
        <w:rPr>
          <w:rFonts w:ascii="Segoe UI" w:cs="Segoe UI" w:eastAsia="Segoe UI" w:hAnsi="Segoe UI"/>
          <w:sz w:val="23"/>
          <w:szCs w:val="23"/>
          <w:color w:val="auto"/>
        </w:rPr>
        <w:t xml:space="preserve"> Converts between different credential types across domains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-72390</wp:posOffset>
            </wp:positionV>
            <wp:extent cx="57150" cy="571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4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b w:val="1"/>
          <w:bCs w:val="1"/>
          <w:color w:val="auto"/>
        </w:rPr>
        <w:t>Behavioral Authentication Framework (106):</w:t>
      </w:r>
      <w:r>
        <w:rPr>
          <w:rFonts w:ascii="Segoe UI" w:cs="Segoe UI" w:eastAsia="Segoe UI" w:hAnsi="Segoe UI"/>
          <w:sz w:val="23"/>
          <w:szCs w:val="23"/>
          <w:color w:val="auto"/>
        </w:rPr>
        <w:t xml:space="preserve"> Continuously monitors and validates agent behavior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-72390</wp:posOffset>
            </wp:positionV>
            <wp:extent cx="57150" cy="571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4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Trust Bridge Protocol Module (108):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Negotiates between domains with different trust models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6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Distributed Session Management (110):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Maintains sessions with Byzantine fault tolerance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b w:val="1"/>
          <w:bCs w:val="1"/>
          <w:color w:val="auto"/>
        </w:rPr>
        <w:t>Multiple Security Domains (116a, 116b, 116c):</w:t>
      </w:r>
      <w:r>
        <w:rPr>
          <w:rFonts w:ascii="Segoe UI" w:cs="Segoe UI" w:eastAsia="Segoe UI" w:hAnsi="Segoe UI"/>
          <w:sz w:val="23"/>
          <w:szCs w:val="23"/>
          <w:color w:val="auto"/>
        </w:rPr>
        <w:t xml:space="preserve"> Different environments with varying requirements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-72390</wp:posOffset>
            </wp:positionV>
            <wp:extent cx="57150" cy="571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69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Central Controller (118):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Coordinates all authentication processes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b w:val="1"/>
          <w:bCs w:val="1"/>
          <w:color w:val="auto"/>
        </w:rPr>
        <w:t>Data flows:</w:t>
      </w:r>
      <w:r>
        <w:rPr>
          <w:rFonts w:ascii="Segoe UI" w:cs="Segoe UI" w:eastAsia="Segoe UI" w:hAnsi="Segoe UI"/>
          <w:sz w:val="23"/>
          <w:szCs w:val="23"/>
          <w:color w:val="auto"/>
        </w:rPr>
        <w:t xml:space="preserve"> Indicated by arrows showing credential flow, behavioral data, and session information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-72390</wp:posOffset>
            </wp:positionV>
            <wp:extent cx="57150" cy="571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6858000" cy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FIGURE 2 - Credential Translation Engine Detail</w:t>
      </w:r>
    </w:p>
    <w:p>
      <w:pPr>
        <w:spacing w:after="0" w:line="23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Figure 2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provides a detailed view of the Credential Translation Engine 200, illustrating:</w:t>
      </w:r>
    </w:p>
    <w:p>
      <w:pPr>
        <w:spacing w:after="0" w:line="296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Supported Credential Types (202-216):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4" w:lineRule="exact"/>
        <w:rPr>
          <w:sz w:val="24"/>
          <w:szCs w:val="24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API Keys (202)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-95250</wp:posOffset>
            </wp:positionV>
            <wp:extent cx="57150" cy="571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33" w:lineRule="exact"/>
        <w:rPr>
          <w:sz w:val="24"/>
          <w:szCs w:val="24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X.509 Certificates (204)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-80645</wp:posOffset>
            </wp:positionV>
            <wp:extent cx="57150" cy="571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4"/>
          <w:szCs w:val="24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OAuth Tokens (206)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-80645</wp:posOffset>
            </wp:positionV>
            <wp:extent cx="57150" cy="5715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6" w:lineRule="exact"/>
        <w:rPr>
          <w:sz w:val="24"/>
          <w:szCs w:val="24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JWT Tokens (208)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-80645</wp:posOffset>
            </wp:positionV>
            <wp:extent cx="57150" cy="571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4"/>
          <w:szCs w:val="24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SAML Assertions (210)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-80645</wp:posOffset>
            </wp:positionV>
            <wp:extent cx="57150" cy="5715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4"/>
          <w:szCs w:val="24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Kerberos Tickets (212)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-80645</wp:posOffset>
            </wp:positionV>
            <wp:extent cx="57150" cy="5715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6" w:lineRule="exact"/>
        <w:rPr>
          <w:sz w:val="24"/>
          <w:szCs w:val="24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Hardware Security Module Credentials (214)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-80645</wp:posOffset>
            </wp:positionV>
            <wp:extent cx="57150" cy="5715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4"/>
          <w:szCs w:val="24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Behavioral Authentication Patterns (216)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-80645</wp:posOffset>
            </wp:positionV>
            <wp:extent cx="57150" cy="571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6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Secure Multiparty Computation Protocol (220):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4" w:lineRule="exact"/>
        <w:rPr>
          <w:sz w:val="24"/>
          <w:szCs w:val="24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Source Domain Authority (222)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-95250</wp:posOffset>
            </wp:positionV>
            <wp:extent cx="57150" cy="5715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10740"/>
          </w:cols>
          <w:pgMar w:left="720" w:top="598" w:right="780" w:bottom="0" w:gutter="0" w:footer="0" w:header="0"/>
        </w:sectPr>
      </w:pPr>
    </w:p>
    <w:bookmarkStart w:id="1" w:name="page2"/>
    <w:bookmarkEnd w:id="1"/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Target Domain Authority (224)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-80645</wp:posOffset>
            </wp:positionV>
            <wp:extent cx="57150" cy="571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Neutral Translation Services (226)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-80645</wp:posOffset>
            </wp:positionV>
            <wp:extent cx="57150" cy="5715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Threshold cryptography connections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-80645</wp:posOffset>
            </wp:positionV>
            <wp:extent cx="57150" cy="5715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Translation Process Flow: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Input validation stage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-85725</wp:posOffset>
            </wp:positionV>
            <wp:extent cx="57150" cy="5715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33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Semantic mapping layer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-80645</wp:posOffset>
            </wp:positionV>
            <wp:extent cx="57150" cy="5715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Output generation stage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-80645</wp:posOffset>
            </wp:positionV>
            <wp:extent cx="57150" cy="5715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Audit trail creation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-80645</wp:posOffset>
            </wp:positionV>
            <wp:extent cx="57150" cy="5715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233045</wp:posOffset>
            </wp:positionV>
            <wp:extent cx="6858000" cy="952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FIGURE 3 - Behavioral Authentication Framework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b w:val="1"/>
          <w:bCs w:val="1"/>
          <w:color w:val="auto"/>
        </w:rPr>
        <w:t>Figure 3</w:t>
      </w:r>
      <w:r>
        <w:rPr>
          <w:rFonts w:ascii="Segoe UI" w:cs="Segoe UI" w:eastAsia="Segoe UI" w:hAnsi="Segoe UI"/>
          <w:sz w:val="23"/>
          <w:szCs w:val="23"/>
          <w:color w:val="auto"/>
        </w:rPr>
        <w:t xml:space="preserve"> depicts the Behavioral Authentication Framework 300 components:</w:t>
      </w:r>
    </w:p>
    <w:p>
      <w:pPr>
        <w:spacing w:after="0" w:line="309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Behavioral Dimensions Analyzed: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API Call Patterns (302): Sequence, frequency, parameters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-95250</wp:posOffset>
            </wp:positionV>
            <wp:extent cx="57150" cy="5715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auto"/>
        </w:rPr>
        <w:t>Resource Consumption Patterns (304): CPU, memory, network, storage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-72390</wp:posOffset>
            </wp:positionV>
            <wp:extent cx="57150" cy="5715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69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Decision-Making Patterns (306): Classification, response selection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-80645</wp:posOffset>
            </wp:positionV>
            <wp:extent cx="57150" cy="5715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Interaction Sequences (308): Inter-agent communication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-80645</wp:posOffset>
            </wp:positionV>
            <wp:extent cx="57150" cy="5715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Temporal Patterns (310): Activity rhythms, burst behavior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-80645</wp:posOffset>
            </wp:positionV>
            <wp:extent cx="57150" cy="5715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Machine Learning Module (312):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LSTM Networks for sequence analysis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-85725</wp:posOffset>
            </wp:positionV>
            <wp:extent cx="57150" cy="5715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33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Isolation Forest for anomaly detection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-80645</wp:posOffset>
            </wp:positionV>
            <wp:extent cx="57150" cy="5715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One-Class SVM for pattern recognition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-80645</wp:posOffset>
            </wp:positionV>
            <wp:extent cx="57150" cy="5715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Autoencoder for feature extraction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-80645</wp:posOffset>
            </wp:positionV>
            <wp:extent cx="57150" cy="5715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Ensemble voting mechanism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-80645</wp:posOffset>
            </wp:positionV>
            <wp:extent cx="57150" cy="5715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Comparison Engine (314):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Baseline storage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-95250</wp:posOffset>
            </wp:positionV>
            <wp:extent cx="57150" cy="5715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Real-time comparison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-80645</wp:posOffset>
            </wp:positionV>
            <wp:extent cx="57150" cy="5715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Deviation calculation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-80645</wp:posOffset>
            </wp:positionV>
            <wp:extent cx="57150" cy="5715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Statistical analysis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-80645</wp:posOffset>
            </wp:positionV>
            <wp:extent cx="57150" cy="5715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Anomaly Response Module (316):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Threshold evaluation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-95250</wp:posOffset>
            </wp:positionV>
            <wp:extent cx="57150" cy="5715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Response selection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-80645</wp:posOffset>
            </wp:positionV>
            <wp:extent cx="57150" cy="5715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10080"/>
          </w:cols>
          <w:pgMar w:left="720" w:top="349" w:right="1440" w:bottom="27" w:gutter="0" w:footer="0" w:header="0"/>
        </w:sectPr>
      </w:pPr>
    </w:p>
    <w:bookmarkStart w:id="2" w:name="page3"/>
    <w:bookmarkEnd w:id="2"/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Alert generation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-80645</wp:posOffset>
            </wp:positionV>
            <wp:extent cx="57150" cy="5715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Audit logging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-80645</wp:posOffset>
            </wp:positionV>
            <wp:extent cx="57150" cy="5715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242570</wp:posOffset>
            </wp:positionV>
            <wp:extent cx="6858000" cy="9525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FIGURE 4 - Trust Bridge Protocol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Figure 4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illustrates the Trust Bridge Protocol 400 operation:</w:t>
      </w: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Multi-Phase Negotiation Process (402):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Discovery Phase (404): Exchange capabilities and requirements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-85725</wp:posOffset>
            </wp:positionV>
            <wp:extent cx="57150" cy="5715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33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Negotiation Phase (406): Find common authentication methods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-80645</wp:posOffset>
            </wp:positionV>
            <wp:extent cx="57150" cy="5715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Establishment Phase (408): Create cryptographic bindings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-80645</wp:posOffset>
            </wp:positionV>
            <wp:extent cx="57150" cy="5715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Maintenance Phase (410): Monitor and update relationships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-80645</wp:posOffset>
            </wp:positionV>
            <wp:extent cx="57150" cy="5715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Supported Trust Models: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Hierarchical Trust/PKI (412): Certificate authorities, chain validation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-85725</wp:posOffset>
            </wp:positionV>
            <wp:extent cx="57150" cy="5715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33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Web of Trust (414): Peer relationships, reputation scoring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-80645</wp:posOffset>
            </wp:positionV>
            <wp:extent cx="57150" cy="5715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Blockchain-Based Trust (416): Distributed ledger, smart contracts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-80645</wp:posOffset>
            </wp:positionV>
            <wp:extent cx="57150" cy="5715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auto"/>
        </w:rPr>
        <w:t>Zero-Knowledge Proof Systems (418): Privacy-preserving verification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-72390</wp:posOffset>
            </wp:positionV>
            <wp:extent cx="57150" cy="5715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4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Protocol Messages: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Capability announcements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-85725</wp:posOffset>
            </wp:positionV>
            <wp:extent cx="57150" cy="5715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33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Requirement negotiations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-80645</wp:posOffset>
            </wp:positionV>
            <wp:extent cx="57150" cy="5715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Binding confirmations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-80645</wp:posOffset>
            </wp:positionV>
            <wp:extent cx="57150" cy="5715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Health check updates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-80645</wp:posOffset>
            </wp:positionV>
            <wp:extent cx="57150" cy="5715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Trust Level Elevation Path: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Shows progressive authentication flow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204470</wp:posOffset>
            </wp:positionV>
            <wp:extent cx="6858000" cy="9525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9"/>
          <w:szCs w:val="29"/>
          <w:b w:val="1"/>
          <w:bCs w:val="1"/>
          <w:color w:val="auto"/>
        </w:rPr>
        <w:t>FIGURE 5 - Byzantine Fault Tolerant Session Management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Figure 5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shows the Distributed Session Management architecture 500:</w:t>
      </w: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Node Configuration: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Primary Node (502)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-85725</wp:posOffset>
            </wp:positionV>
            <wp:extent cx="57150" cy="5715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33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Backup Nodes (504a-504f): Total of 7 nodes (3f+1 where f=2)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-80645</wp:posOffset>
            </wp:positionV>
            <wp:extent cx="57150" cy="5715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Failed/Byzantine Node indication (506)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-80645</wp:posOffset>
            </wp:positionV>
            <wp:extent cx="57150" cy="5715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Consensus Protocol Phases: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REQUEST: Client to primary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-95250</wp:posOffset>
            </wp:positionV>
            <wp:extent cx="57150" cy="5715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10080"/>
          </w:cols>
          <w:pgMar w:left="720" w:top="349" w:right="1440" w:bottom="334" w:gutter="0" w:footer="0" w:header="0"/>
        </w:sectPr>
      </w:pPr>
    </w:p>
    <w:bookmarkStart w:id="3" w:name="page4"/>
    <w:bookmarkEnd w:id="3"/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PRE-PREPARE: Primary broadcasts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-80645</wp:posOffset>
            </wp:positionV>
            <wp:extent cx="57150" cy="5715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PREPARE: Inter-node agreement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-80645</wp:posOffset>
            </wp:positionV>
            <wp:extent cx="57150" cy="57150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COMMIT: Execution confirmation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-80645</wp:posOffset>
            </wp:positionV>
            <wp:extent cx="57150" cy="5715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REPLY: Client response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-80645</wp:posOffset>
            </wp:positionV>
            <wp:extent cx="57150" cy="5715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Session State Replication: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State distribution arrows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-95250</wp:posOffset>
            </wp:positionV>
            <wp:extent cx="57150" cy="5715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Consistency verification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-80645</wp:posOffset>
            </wp:positionV>
            <wp:extent cx="57150" cy="5715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Update propagation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-80645</wp:posOffset>
            </wp:positionV>
            <wp:extent cx="57150" cy="5715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Conflict resolution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-80645</wp:posOffset>
            </wp:positionV>
            <wp:extent cx="57150" cy="5715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Message Flow Diagram: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Normal operation path (solid lines)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-95250</wp:posOffset>
            </wp:positionV>
            <wp:extent cx="57150" cy="57150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8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View change path (dashed lines)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-80645</wp:posOffset>
            </wp:positionV>
            <wp:extent cx="57150" cy="57150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Fault detection indicators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-80645</wp:posOffset>
            </wp:positionV>
            <wp:extent cx="57150" cy="57150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Recovery mechanisms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-80645</wp:posOffset>
            </wp:positionV>
            <wp:extent cx="57150" cy="57150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6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Session Components Shown: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Session ID management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-95250</wp:posOffset>
            </wp:positionV>
            <wp:extent cx="57150" cy="57150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33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Credential storage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-80645</wp:posOffset>
            </wp:positionV>
            <wp:extent cx="57150" cy="57150"/>
            <wp:wrapNone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Behavioral scores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-80645</wp:posOffset>
            </wp:positionV>
            <wp:extent cx="57150" cy="57150"/>
            <wp:wrapNone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Ephemeral keys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-80645</wp:posOffset>
            </wp:positionV>
            <wp:extent cx="57150" cy="57150"/>
            <wp:wrapNone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84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Replay counters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361950</wp:posOffset>
            </wp:positionH>
            <wp:positionV relativeFrom="paragraph">
              <wp:posOffset>-80645</wp:posOffset>
            </wp:positionV>
            <wp:extent cx="57150" cy="57150"/>
            <wp:wrapNone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233045</wp:posOffset>
            </wp:positionV>
            <wp:extent cx="6858000" cy="9525"/>
            <wp:wrapNone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Additional Drawing Notes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All figures use the following conventions:</w:t>
      </w:r>
    </w:p>
    <w:p>
      <w:pPr>
        <w:spacing w:after="0" w:line="296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Solid lines: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Primary data/control flow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Dashed lines: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Alternative or conditional paths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Thick borders: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Security boundaries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Shaded areas: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Encrypted or protected zones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b w:val="1"/>
          <w:bCs w:val="1"/>
          <w:color w:val="auto"/>
        </w:rPr>
        <w:t>Numbered circles:</w:t>
      </w:r>
      <w:r>
        <w:rPr>
          <w:rFonts w:ascii="Segoe UI" w:cs="Segoe UI" w:eastAsia="Segoe UI" w:hAnsi="Segoe UI"/>
          <w:sz w:val="23"/>
          <w:szCs w:val="23"/>
          <w:color w:val="auto"/>
        </w:rPr>
        <w:t xml:space="preserve"> Process sequence indicators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-72390</wp:posOffset>
            </wp:positionV>
            <wp:extent cx="57150" cy="57150"/>
            <wp:wrapNone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jc w:val="center"/>
        <w:ind w:right="610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auto"/>
        </w:rPr>
        <w:t>Figures are drawn to USPTO standards:</w:t>
      </w: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Black ink on white background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10080"/>
          </w:cols>
          <w:pgMar w:left="720" w:top="349" w:right="1440" w:bottom="147" w:gutter="0" w:footer="0" w:header="0"/>
        </w:sectPr>
      </w:pPr>
    </w:p>
    <w:bookmarkStart w:id="4" w:name="page5"/>
    <w:bookmarkEnd w:id="4"/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No color or grayscale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Clear labeling with reference numerals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Consistent symbol usage throughout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auto"/>
        </w:rPr>
        <w:t>Suitable for reproduction at patent publication size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-72390</wp:posOffset>
            </wp:positionV>
            <wp:extent cx="57150" cy="57150"/>
            <wp:wrapNone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212725</wp:posOffset>
            </wp:positionV>
            <wp:extent cx="6858000" cy="9525"/>
            <wp:wrapNone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i w:val="1"/>
          <w:iCs w:val="1"/>
          <w:color w:val="auto"/>
        </w:rPr>
        <w:t>End of Drawings Description</w:t>
      </w:r>
    </w:p>
    <w:sectPr>
      <w:pgSz w:w="12240" w:h="15840" w:orient="portrait"/>
      <w:cols w:equalWidth="0" w:num="1">
        <w:col w:w="10080"/>
      </w:cols>
      <w:pgMar w:left="720" w:top="349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image" Target="media/image34.png"/><Relationship Id="rId46" Type="http://schemas.openxmlformats.org/officeDocument/2006/relationships/image" Target="media/image35.png"/><Relationship Id="rId47" Type="http://schemas.openxmlformats.org/officeDocument/2006/relationships/image" Target="media/image36.png"/><Relationship Id="rId48" Type="http://schemas.openxmlformats.org/officeDocument/2006/relationships/image" Target="media/image37.png"/><Relationship Id="rId49" Type="http://schemas.openxmlformats.org/officeDocument/2006/relationships/image" Target="media/image38.png"/><Relationship Id="rId50" Type="http://schemas.openxmlformats.org/officeDocument/2006/relationships/image" Target="media/image39.png"/><Relationship Id="rId51" Type="http://schemas.openxmlformats.org/officeDocument/2006/relationships/image" Target="media/image40.png"/><Relationship Id="rId52" Type="http://schemas.openxmlformats.org/officeDocument/2006/relationships/image" Target="media/image41.png"/><Relationship Id="rId53" Type="http://schemas.openxmlformats.org/officeDocument/2006/relationships/image" Target="media/image42.png"/><Relationship Id="rId54" Type="http://schemas.openxmlformats.org/officeDocument/2006/relationships/image" Target="media/image43.png"/><Relationship Id="rId55" Type="http://schemas.openxmlformats.org/officeDocument/2006/relationships/image" Target="media/image44.png"/><Relationship Id="rId56" Type="http://schemas.openxmlformats.org/officeDocument/2006/relationships/image" Target="media/image45.png"/><Relationship Id="rId57" Type="http://schemas.openxmlformats.org/officeDocument/2006/relationships/image" Target="media/image46.png"/><Relationship Id="rId58" Type="http://schemas.openxmlformats.org/officeDocument/2006/relationships/image" Target="media/image47.png"/><Relationship Id="rId59" Type="http://schemas.openxmlformats.org/officeDocument/2006/relationships/image" Target="media/image48.png"/><Relationship Id="rId60" Type="http://schemas.openxmlformats.org/officeDocument/2006/relationships/image" Target="media/image49.png"/><Relationship Id="rId61" Type="http://schemas.openxmlformats.org/officeDocument/2006/relationships/image" Target="media/image50.png"/><Relationship Id="rId62" Type="http://schemas.openxmlformats.org/officeDocument/2006/relationships/image" Target="media/image51.png"/><Relationship Id="rId63" Type="http://schemas.openxmlformats.org/officeDocument/2006/relationships/image" Target="media/image52.png"/><Relationship Id="rId64" Type="http://schemas.openxmlformats.org/officeDocument/2006/relationships/image" Target="media/image53.png"/><Relationship Id="rId65" Type="http://schemas.openxmlformats.org/officeDocument/2006/relationships/image" Target="media/image54.png"/><Relationship Id="rId66" Type="http://schemas.openxmlformats.org/officeDocument/2006/relationships/image" Target="media/image55.png"/><Relationship Id="rId67" Type="http://schemas.openxmlformats.org/officeDocument/2006/relationships/image" Target="media/image56.png"/><Relationship Id="rId68" Type="http://schemas.openxmlformats.org/officeDocument/2006/relationships/image" Target="media/image57.png"/><Relationship Id="rId69" Type="http://schemas.openxmlformats.org/officeDocument/2006/relationships/image" Target="media/image58.png"/><Relationship Id="rId70" Type="http://schemas.openxmlformats.org/officeDocument/2006/relationships/image" Target="media/image59.png"/><Relationship Id="rId71" Type="http://schemas.openxmlformats.org/officeDocument/2006/relationships/image" Target="media/image60.png"/><Relationship Id="rId72" Type="http://schemas.openxmlformats.org/officeDocument/2006/relationships/image" Target="media/image61.png"/><Relationship Id="rId73" Type="http://schemas.openxmlformats.org/officeDocument/2006/relationships/image" Target="media/image62.png"/><Relationship Id="rId74" Type="http://schemas.openxmlformats.org/officeDocument/2006/relationships/image" Target="media/image63.png"/><Relationship Id="rId75" Type="http://schemas.openxmlformats.org/officeDocument/2006/relationships/image" Target="media/image64.png"/><Relationship Id="rId76" Type="http://schemas.openxmlformats.org/officeDocument/2006/relationships/image" Target="media/image65.png"/><Relationship Id="rId77" Type="http://schemas.openxmlformats.org/officeDocument/2006/relationships/image" Target="media/image66.png"/><Relationship Id="rId78" Type="http://schemas.openxmlformats.org/officeDocument/2006/relationships/image" Target="media/image67.png"/><Relationship Id="rId79" Type="http://schemas.openxmlformats.org/officeDocument/2006/relationships/image" Target="media/image68.png"/><Relationship Id="rId80" Type="http://schemas.openxmlformats.org/officeDocument/2006/relationships/image" Target="media/image69.png"/><Relationship Id="rId81" Type="http://schemas.openxmlformats.org/officeDocument/2006/relationships/image" Target="media/image70.png"/><Relationship Id="rId82" Type="http://schemas.openxmlformats.org/officeDocument/2006/relationships/image" Target="media/image71.png"/><Relationship Id="rId83" Type="http://schemas.openxmlformats.org/officeDocument/2006/relationships/image" Target="media/image72.png"/><Relationship Id="rId84" Type="http://schemas.openxmlformats.org/officeDocument/2006/relationships/image" Target="media/image73.png"/><Relationship Id="rId85" Type="http://schemas.openxmlformats.org/officeDocument/2006/relationships/image" Target="media/image74.png"/><Relationship Id="rId86" Type="http://schemas.openxmlformats.org/officeDocument/2006/relationships/image" Target="media/image75.png"/><Relationship Id="rId87" Type="http://schemas.openxmlformats.org/officeDocument/2006/relationships/image" Target="media/image76.png"/><Relationship Id="rId88" Type="http://schemas.openxmlformats.org/officeDocument/2006/relationships/image" Target="media/image77.png"/><Relationship Id="rId89" Type="http://schemas.openxmlformats.org/officeDocument/2006/relationships/image" Target="media/image78.png"/><Relationship Id="rId90" Type="http://schemas.openxmlformats.org/officeDocument/2006/relationships/image" Target="media/image79.png"/><Relationship Id="rId91" Type="http://schemas.openxmlformats.org/officeDocument/2006/relationships/image" Target="media/image80.png"/><Relationship Id="rId92" Type="http://schemas.openxmlformats.org/officeDocument/2006/relationships/image" Target="media/image81.png"/><Relationship Id="rId93" Type="http://schemas.openxmlformats.org/officeDocument/2006/relationships/image" Target="media/image82.png"/><Relationship Id="rId94" Type="http://schemas.openxmlformats.org/officeDocument/2006/relationships/image" Target="media/image83.png"/><Relationship Id="rId95" Type="http://schemas.openxmlformats.org/officeDocument/2006/relationships/image" Target="media/image84.png"/><Relationship Id="rId96" Type="http://schemas.openxmlformats.org/officeDocument/2006/relationships/image" Target="media/image85.png"/><Relationship Id="rId97" Type="http://schemas.openxmlformats.org/officeDocument/2006/relationships/image" Target="media/image86.png"/><Relationship Id="rId98" Type="http://schemas.openxmlformats.org/officeDocument/2006/relationships/image" Target="media/image87.png"/><Relationship Id="rId99" Type="http://schemas.openxmlformats.org/officeDocument/2006/relationships/image" Target="media/image88.png"/><Relationship Id="rId100" Type="http://schemas.openxmlformats.org/officeDocument/2006/relationships/image" Target="media/image89.png"/><Relationship Id="rId101" Type="http://schemas.openxmlformats.org/officeDocument/2006/relationships/image" Target="media/image90.png"/><Relationship Id="rId102" Type="http://schemas.openxmlformats.org/officeDocument/2006/relationships/image" Target="media/image91.png"/><Relationship Id="rId103" Type="http://schemas.openxmlformats.org/officeDocument/2006/relationships/image" Target="media/image92.png"/><Relationship Id="rId104" Type="http://schemas.openxmlformats.org/officeDocument/2006/relationships/image" Target="media/image93.png"/><Relationship Id="rId105" Type="http://schemas.openxmlformats.org/officeDocument/2006/relationships/image" Target="media/image94.png"/><Relationship Id="rId106" Type="http://schemas.openxmlformats.org/officeDocument/2006/relationships/image" Target="media/image95.png"/><Relationship Id="rId107" Type="http://schemas.openxmlformats.org/officeDocument/2006/relationships/image" Target="media/image96.png"/><Relationship Id="rId108" Type="http://schemas.openxmlformats.org/officeDocument/2006/relationships/image" Target="media/image97.png"/><Relationship Id="rId109" Type="http://schemas.openxmlformats.org/officeDocument/2006/relationships/image" Target="media/image98.png"/><Relationship Id="rId110" Type="http://schemas.openxmlformats.org/officeDocument/2006/relationships/image" Target="media/image99.png"/><Relationship Id="rId111" Type="http://schemas.openxmlformats.org/officeDocument/2006/relationships/image" Target="media/image100.png"/><Relationship Id="rId112" Type="http://schemas.openxmlformats.org/officeDocument/2006/relationships/image" Target="media/image101.png"/><Relationship Id="rId113" Type="http://schemas.openxmlformats.org/officeDocument/2006/relationships/image" Target="media/image102.png"/><Relationship Id="rId114" Type="http://schemas.openxmlformats.org/officeDocument/2006/relationships/image" Target="media/image103.png"/><Relationship Id="rId115" Type="http://schemas.openxmlformats.org/officeDocument/2006/relationships/image" Target="media/image104.png"/><Relationship Id="rId116" Type="http://schemas.openxmlformats.org/officeDocument/2006/relationships/image" Target="media/image105.png"/><Relationship Id="rId117" Type="http://schemas.openxmlformats.org/officeDocument/2006/relationships/image" Target="media/image106.png"/><Relationship Id="rId118" Type="http://schemas.openxmlformats.org/officeDocument/2006/relationships/image" Target="media/image107.png"/><Relationship Id="rId119" Type="http://schemas.openxmlformats.org/officeDocument/2006/relationships/image" Target="media/image10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2025-08-16T09:10:26Z</dcterms:created>
  <dcterms:modified xsi:type="dcterms:W3CDTF">2025-08-16T09:10:26Z</dcterms:modified>
</cp:coreProperties>
</file>