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b w:val="1"/>
          <w:bCs w:val="1"/>
          <w:color w:val="auto"/>
        </w:rPr>
        <w:t>BRIEF DESCRIPTION OF THE DRAWINGS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Docket Number: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RUTHERFORD-012-PROV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Total Sheets: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7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FIGURE 1 - System Architecture Overview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Sheet 1 of 7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right="180"/>
        <w:spacing w:after="0" w:line="33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Figure 1 illustrates the overall system architecture of the defensive cybersecurity testing framework showing the relationship between the vulnerability discovery system and existing PQC implementations. The diagram shows: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420"/>
        <w:spacing w:after="0" w:line="33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Input layer (100) accepting implementations from cuPQC (102), LibOQS (104), and other PQC libraries (106)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-438785</wp:posOffset>
            </wp:positionV>
            <wp:extent cx="57150" cy="571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GPU-accelerated testing core (110) with CUDA kernels (112) and tensor cores (114)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Vulnerability discovery engine (120) with attack simulation (122) and pattern recognition (124)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Compliance validation layer (130) supporting multiple standards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left="420" w:right="80"/>
        <w:spacing w:after="0" w:line="37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Output layer (140) generating vulnerability reports (142), compliance certificates (144), and migration recommendations (146)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-504825</wp:posOffset>
            </wp:positionV>
            <wp:extent cx="57150" cy="571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685800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FIGURE 2 - CUDA Kernel Architecture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Sheet 2 of 7</w:t>
      </w: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Figure 2 depicts the CUDA kernel architecture optimized for parallel quantum attack simulation: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Thread block organization (200) with 1024 threads per block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Shared memory allocation (210) for attack state storage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Warp-level primitives (220) for synchronized vulnerability detection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Global memory access patterns (230) optimized for coalesced reads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Early termination logic (240) triggered upon vulnerability discovery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Attack vector distribution (250) across streaming multiprocessors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FIGURE 3 - Tensor Core Optimization</w:t>
      </w:r>
    </w:p>
    <w:p>
      <w:pPr>
        <w:sectPr>
          <w:pgSz w:w="12240" w:h="15840" w:orient="portrait"/>
          <w:cols w:equalWidth="0" w:num="1">
            <w:col w:w="10780"/>
          </w:cols>
          <w:pgMar w:left="720" w:top="598" w:right="740" w:bottom="371" w:gutter="0" w:footer="0" w:header="0"/>
        </w:sect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Sheet 3 of 7</w:t>
      </w:r>
    </w:p>
    <w:p>
      <w:pPr>
        <w:sectPr>
          <w:pgSz w:w="12240" w:h="15840" w:orient="portrait"/>
          <w:cols w:equalWidth="0" w:num="1">
            <w:col w:w="10780"/>
          </w:cols>
          <w:pgMar w:left="720" w:top="598" w:right="740" w:bottom="371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Figure 3 shows tensor core optimization for adversarial syndrome decoding attacks: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 w:right="3240"/>
        <w:spacing w:after="0" w:line="397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Matrix multiplication units (300) configured for cryptanalysis Tensor core array (310) with 640 tensor cores per SM Mixed precision operations (320) using FP16/INT8 Syndrome matrix decomposition (330) for lattice attacks Parallel correlation computation (340) for side-channel analysis Performance metrics display (350) showing 10-100x speedup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-1805940</wp:posOffset>
            </wp:positionV>
            <wp:extent cx="57150" cy="571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-1491615</wp:posOffset>
            </wp:positionV>
            <wp:extent cx="57150" cy="571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-1186815</wp:posOffset>
            </wp:positionV>
            <wp:extent cx="57150" cy="571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-872490</wp:posOffset>
            </wp:positionV>
            <wp:extent cx="57150" cy="571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-567690</wp:posOffset>
            </wp:positionV>
            <wp:extent cx="57150" cy="571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-262890</wp:posOffset>
            </wp:positionV>
            <wp:extent cx="57150" cy="571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6858000" cy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FIGURE 4 - Vulnerability Discovery Data Flow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Sheet 4 of 7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Figure 4 illustrates the vulnerability discovery data flow and automated weakness identification:</w:t>
      </w: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Implementation ingestion module (400)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Static analysis pipeline (410) for code inspection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 w:right="3700"/>
        <w:spacing w:after="0" w:line="36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Dynamic testing framework (420) with runtime monitoring Side-channel measurement apparatus (430)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-496570</wp:posOffset>
            </wp:positionV>
            <wp:extent cx="57150" cy="571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-182245</wp:posOffset>
            </wp:positionV>
            <wp:extent cx="57150" cy="571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Quantum attack simulator (440) implementing Grover's and Shor's algorithms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Vulnerability classification system (450) categorizing findings by severity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Automated reporting engine (460)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FIGURE 5 - Multi-Standard Compliance Pipeline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Sheet 5 of 7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Figure 5 presents the multi-standard compliance report generation pipeline: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Standard parsers (500) for NIST FIPS 203/204/205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ETSI TR 103 619 validator (510)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ISO/IEC 18033-2 checker (520)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Common Criteria EAL4+ evaluator (530)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Unified compliance engine (540) cross-referencing requirements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Report generator (550) with customizable templates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Certification issuance module (560)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080"/>
          </w:cols>
          <w:pgMar w:left="720" w:top="349" w:right="1440" w:bottom="327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FIGURE 6 - Migration Recommendation Algorithm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Sheet 6 of 7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Figure 6 depicts the migration recommendation algorithm based on Mosca's theorem: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 w:right="1360"/>
        <w:spacing w:after="0" w:line="36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Input parameters (600): X (data sensitivity), Y (migration time), Z (quantum threat) Risk calculation engine (610) implementing X + Y &gt;= Z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-496570</wp:posOffset>
            </wp:positionV>
            <wp:extent cx="57150" cy="5715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-191770</wp:posOffset>
            </wp:positionV>
            <wp:extent cx="57150" cy="5715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Vulnerability assessment integration (620)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Timeline generator (630) with milestone tracking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Priority matrix (640) ranking systems by risk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Recommendation engine (650) with actionable steps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Dashboard visualization (660)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FIGURE 7 - Implementation Layer Separation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Sheet 7 of 7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Figure 7 shows the architectural separation between implementation libraries and testing layer:</w:t>
      </w: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Implementation layer (700) containing cuPQC (702), LibOQS (704), DPCrypto (706)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API abstraction layer (710) providing unified interface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Testing framework (720) operating independently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 w:right="2600"/>
        <w:spacing w:after="0" w:line="36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Vulnerability discovery modules (730) targeting each implementation Results aggregation layer (740)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-496570</wp:posOffset>
            </wp:positionV>
            <wp:extent cx="57150" cy="5715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-191770</wp:posOffset>
            </wp:positionV>
            <wp:extent cx="57150" cy="5715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Feedback loop (750) to implementation providers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Clear boundary (760) between defensive testing and cryptographic operations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DRAWING CONVENTIONS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All figures use the following conventions: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Solid lines indicate data flow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Dashed lines indicate control flow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Dotted lines indicate optional connections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Shaded boxes represent GPU-accelerated components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Double borders indicate security-critical modules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080"/>
          </w:cols>
          <w:pgMar w:left="720" w:top="392" w:right="1440" w:bottom="132" w:gutter="0" w:footer="0" w:header="0"/>
        </w:sectPr>
      </w:pPr>
    </w:p>
    <w:bookmarkStart w:id="3" w:name="page4"/>
    <w:bookmarkEnd w:id="3"/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Reference numerals are consistent across all figures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-72390</wp:posOffset>
            </wp:positionV>
            <wp:extent cx="57150" cy="5715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6858000" cy="952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Total Pages: 2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End of Drawing Descriptions</w:t>
      </w:r>
    </w:p>
    <w:sectPr>
      <w:pgSz w:w="12240" w:h="15840" w:orient="portrait"/>
      <w:cols w:equalWidth="0" w:num="1">
        <w:col w:w="10080"/>
      </w:cols>
      <w:pgMar w:left="720" w:top="349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2025-08-20T07:13:58Z</dcterms:created>
  <dcterms:modified xsi:type="dcterms:W3CDTF">2025-08-20T07:13:58Z</dcterms:modified>
</cp:coreProperties>
</file>