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Segoe UI" w:cs="Segoe UI" w:eastAsia="Segoe UI" w:hAnsi="Segoe UI"/>
          <w:sz w:val="36"/>
          <w:szCs w:val="36"/>
          <w:b w:val="1"/>
          <w:bCs w:val="1"/>
          <w:color w:val="auto"/>
        </w:rPr>
        <w:t>BRIEF DESCRIPTION OF DRAWINGS</w:t>
      </w:r>
    </w:p>
    <w:p>
      <w:pPr>
        <w:spacing w:after="0" w:line="262"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Application Number:</w:t>
      </w:r>
      <w:r>
        <w:rPr>
          <w:rFonts w:ascii="Segoe UI" w:cs="Segoe UI" w:eastAsia="Segoe UI" w:hAnsi="Segoe UI"/>
          <w:sz w:val="24"/>
          <w:szCs w:val="24"/>
          <w:color w:val="auto"/>
        </w:rPr>
        <w:t xml:space="preserve"> To Be Assigned</w:t>
      </w:r>
    </w:p>
    <w:p>
      <w:pPr>
        <w:spacing w:after="0" w:line="94"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Docket Number:</w:t>
      </w:r>
      <w:r>
        <w:rPr>
          <w:rFonts w:ascii="Segoe UI" w:cs="Segoe UI" w:eastAsia="Segoe UI" w:hAnsi="Segoe UI"/>
          <w:sz w:val="24"/>
          <w:szCs w:val="24"/>
          <w:color w:val="auto"/>
        </w:rPr>
        <w:t xml:space="preserve"> RUTHERFORD-015-PROV</w:t>
      </w:r>
    </w:p>
    <w:p>
      <w:pPr>
        <w:spacing w:after="0" w:line="71"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Inventor:</w:t>
      </w:r>
      <w:r>
        <w:rPr>
          <w:rFonts w:ascii="Segoe UI" w:cs="Segoe UI" w:eastAsia="Segoe UI" w:hAnsi="Segoe UI"/>
          <w:sz w:val="24"/>
          <w:szCs w:val="24"/>
          <w:color w:val="auto"/>
        </w:rPr>
        <w:t xml:space="preserve"> Brian James Rutherford</w:t>
      </w:r>
    </w:p>
    <w:p>
      <w:pPr>
        <w:spacing w:after="0" w:line="86" w:lineRule="exact"/>
        <w:rPr>
          <w:sz w:val="24"/>
          <w:szCs w:val="24"/>
          <w:color w:val="auto"/>
        </w:rPr>
      </w:pPr>
    </w:p>
    <w:p>
      <w:pPr>
        <w:ind w:right="900"/>
        <w:spacing w:after="0" w:line="354" w:lineRule="auto"/>
        <w:rPr>
          <w:sz w:val="20"/>
          <w:szCs w:val="20"/>
          <w:color w:val="auto"/>
        </w:rPr>
      </w:pPr>
      <w:r>
        <w:rPr>
          <w:rFonts w:ascii="Segoe UI" w:cs="Segoe UI" w:eastAsia="Segoe UI" w:hAnsi="Segoe UI"/>
          <w:sz w:val="24"/>
          <w:szCs w:val="24"/>
          <w:b w:val="1"/>
          <w:bCs w:val="1"/>
          <w:color w:val="auto"/>
        </w:rPr>
        <w:t>Title:</w:t>
      </w:r>
      <w:r>
        <w:rPr>
          <w:rFonts w:ascii="Segoe UI" w:cs="Segoe UI" w:eastAsia="Segoe UI" w:hAnsi="Segoe UI"/>
          <w:sz w:val="24"/>
          <w:szCs w:val="24"/>
          <w:color w:val="auto"/>
        </w:rPr>
        <w:t xml:space="preserve"> Quantum Side-Channel Defense System for Post-Quantum Cryptographic Implementation Protection within MWRASP Total Defensive Cybersecurity Platform</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41910</wp:posOffset>
            </wp:positionV>
            <wp:extent cx="6858000" cy="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74" w:lineRule="exact"/>
        <w:rPr>
          <w:sz w:val="24"/>
          <w:szCs w:val="24"/>
          <w:color w:val="auto"/>
        </w:rPr>
      </w:pPr>
    </w:p>
    <w:p>
      <w:pPr>
        <w:spacing w:after="0"/>
        <w:rPr>
          <w:sz w:val="20"/>
          <w:szCs w:val="20"/>
          <w:color w:val="auto"/>
        </w:rPr>
      </w:pPr>
      <w:r>
        <w:rPr>
          <w:rFonts w:ascii="Segoe UI" w:cs="Segoe UI" w:eastAsia="Segoe UI" w:hAnsi="Segoe UI"/>
          <w:sz w:val="30"/>
          <w:szCs w:val="30"/>
          <w:b w:val="1"/>
          <w:bCs w:val="1"/>
          <w:color w:val="auto"/>
        </w:rPr>
        <w:t>DRAWINGS SUBMITTED: 12 SHEETS</w:t>
      </w:r>
    </w:p>
    <w:p>
      <w:pPr>
        <w:spacing w:after="0" w:line="233" w:lineRule="exact"/>
        <w:rPr>
          <w:sz w:val="24"/>
          <w:szCs w:val="24"/>
          <w:color w:val="auto"/>
        </w:rPr>
      </w:pPr>
    </w:p>
    <w:p>
      <w:pPr>
        <w:ind w:right="200"/>
        <w:spacing w:after="0" w:line="360" w:lineRule="auto"/>
        <w:rPr>
          <w:sz w:val="20"/>
          <w:szCs w:val="20"/>
          <w:color w:val="auto"/>
        </w:rPr>
      </w:pPr>
      <w:r>
        <w:rPr>
          <w:rFonts w:ascii="Segoe UI" w:cs="Segoe UI" w:eastAsia="Segoe UI" w:hAnsi="Segoe UI"/>
          <w:sz w:val="24"/>
          <w:szCs w:val="24"/>
          <w:color w:val="auto"/>
        </w:rPr>
        <w:t>The following figures illustrate various aspects and embodiments of the quantum side-channel defense system within the MWRASP Total defensive cybersecurity platform:</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46355</wp:posOffset>
            </wp:positionV>
            <wp:extent cx="6858000" cy="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304" w:lineRule="exact"/>
        <w:rPr>
          <w:sz w:val="24"/>
          <w:szCs w:val="24"/>
          <w:color w:val="auto"/>
        </w:rPr>
      </w:pPr>
    </w:p>
    <w:p>
      <w:pPr>
        <w:spacing w:after="0"/>
        <w:rPr>
          <w:sz w:val="20"/>
          <w:szCs w:val="20"/>
          <w:color w:val="auto"/>
        </w:rPr>
      </w:pPr>
      <w:r>
        <w:rPr>
          <w:rFonts w:ascii="Segoe UI" w:cs="Segoe UI" w:eastAsia="Segoe UI" w:hAnsi="Segoe UI"/>
          <w:sz w:val="27"/>
          <w:szCs w:val="27"/>
          <w:b w:val="1"/>
          <w:bCs w:val="1"/>
          <w:color w:val="auto"/>
        </w:rPr>
        <w:t>FIGURE 1 - System Architecture Overview</w:t>
      </w:r>
    </w:p>
    <w:p>
      <w:pPr>
        <w:spacing w:after="0" w:line="189"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Sheet 1 of 12</w:t>
      </w:r>
    </w:p>
    <w:p>
      <w:pPr>
        <w:spacing w:after="0" w:line="281" w:lineRule="exact"/>
        <w:rPr>
          <w:sz w:val="24"/>
          <w:szCs w:val="24"/>
          <w:color w:val="auto"/>
        </w:rPr>
      </w:pPr>
    </w:p>
    <w:p>
      <w:pPr>
        <w:spacing w:after="0" w:line="310" w:lineRule="auto"/>
        <w:rPr>
          <w:sz w:val="20"/>
          <w:szCs w:val="20"/>
          <w:color w:val="auto"/>
        </w:rPr>
      </w:pPr>
      <w:r>
        <w:rPr>
          <w:rFonts w:ascii="Segoe UI" w:cs="Segoe UI" w:eastAsia="Segoe UI" w:hAnsi="Segoe UI"/>
          <w:sz w:val="24"/>
          <w:szCs w:val="24"/>
          <w:color w:val="auto"/>
        </w:rPr>
        <w:t>Illustrates the overall system architecture of the quantum side-channel defense system, showing the hierarchical arrangement of sensor layers, AI agent processing layers, decision layers, and response layers within the MWRASP defensive cybersecurity platform. The diagram depicts data flow from distributed sensors through machine learning processing to automated countermeasure deployment. Key components shown include the Quantum Electromagnetic Emanation Analyzer (100), Distributed Quantum Sensor Network (200), Machine Learning Quantum Leakage Detector (300), and Real-Time Quantum Countermeasure Engine (400).</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79375</wp:posOffset>
            </wp:positionV>
            <wp:extent cx="6858000" cy="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355" w:lineRule="exact"/>
        <w:rPr>
          <w:sz w:val="24"/>
          <w:szCs w:val="24"/>
          <w:color w:val="auto"/>
        </w:rPr>
      </w:pPr>
    </w:p>
    <w:p>
      <w:pPr>
        <w:spacing w:after="0"/>
        <w:rPr>
          <w:sz w:val="20"/>
          <w:szCs w:val="20"/>
          <w:color w:val="auto"/>
        </w:rPr>
      </w:pPr>
      <w:r>
        <w:rPr>
          <w:rFonts w:ascii="Segoe UI" w:cs="Segoe UI" w:eastAsia="Segoe UI" w:hAnsi="Segoe UI"/>
          <w:sz w:val="27"/>
          <w:szCs w:val="27"/>
          <w:b w:val="1"/>
          <w:bCs w:val="1"/>
          <w:color w:val="auto"/>
        </w:rPr>
        <w:t>FIGURE 2 - Quantum Electromagnetic Emanation Analyzer</w:t>
      </w:r>
    </w:p>
    <w:p>
      <w:pPr>
        <w:spacing w:after="0" w:line="189"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Sheet 2 of 12</w:t>
      </w:r>
    </w:p>
    <w:p>
      <w:pPr>
        <w:spacing w:after="0" w:line="296" w:lineRule="exact"/>
        <w:rPr>
          <w:sz w:val="24"/>
          <w:szCs w:val="24"/>
          <w:color w:val="auto"/>
        </w:rPr>
      </w:pPr>
    </w:p>
    <w:p>
      <w:pPr>
        <w:ind w:right="40"/>
        <w:spacing w:after="0" w:line="311" w:lineRule="auto"/>
        <w:rPr>
          <w:sz w:val="20"/>
          <w:szCs w:val="20"/>
          <w:color w:val="auto"/>
        </w:rPr>
      </w:pPr>
      <w:r>
        <w:rPr>
          <w:rFonts w:ascii="Segoe UI" w:cs="Segoe UI" w:eastAsia="Segoe UI" w:hAnsi="Segoe UI"/>
          <w:sz w:val="24"/>
          <w:szCs w:val="24"/>
          <w:color w:val="auto"/>
        </w:rPr>
        <w:t>Presents a detailed block diagram of the Quantum Electromagnetic Emanation Analyzer, illustrating multiple software-defined radio receivers (201-204), signal processing pipelines (205-208), pattern recognition modules (209-212), and interference mitigation components (213-216). The frequency coverage from 1 MHz to 40 GHz is shown divided across specialized receivers with overlapping coverage zones to ensure complete spectrum monitoring without gaps. AI agent coordination modules (217-220) manage the analysis workflow.</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78740</wp:posOffset>
            </wp:positionV>
            <wp:extent cx="6858000" cy="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355" w:lineRule="exact"/>
        <w:rPr>
          <w:sz w:val="24"/>
          <w:szCs w:val="24"/>
          <w:color w:val="auto"/>
        </w:rPr>
      </w:pPr>
    </w:p>
    <w:p>
      <w:pPr>
        <w:spacing w:after="0"/>
        <w:rPr>
          <w:sz w:val="20"/>
          <w:szCs w:val="20"/>
          <w:color w:val="auto"/>
        </w:rPr>
      </w:pPr>
      <w:r>
        <w:rPr>
          <w:rFonts w:ascii="Segoe UI" w:cs="Segoe UI" w:eastAsia="Segoe UI" w:hAnsi="Segoe UI"/>
          <w:sz w:val="27"/>
          <w:szCs w:val="27"/>
          <w:b w:val="1"/>
          <w:bCs w:val="1"/>
          <w:color w:val="auto"/>
        </w:rPr>
        <w:t>FIGURE 3 - Distributed Quantum Sensor Network Topology</w:t>
      </w:r>
    </w:p>
    <w:p>
      <w:pPr>
        <w:sectPr>
          <w:pgSz w:w="12240" w:h="15840" w:orient="portrait"/>
          <w:cols w:equalWidth="0" w:num="1">
            <w:col w:w="10720"/>
          </w:cols>
          <w:pgMar w:left="720" w:top="598" w:right="800" w:bottom="296" w:gutter="0" w:footer="0" w:header="0"/>
        </w:sectPr>
      </w:pPr>
    </w:p>
    <w:p>
      <w:pPr>
        <w:spacing w:after="0" w:line="189" w:lineRule="exact"/>
        <w:rPr>
          <w:sz w:val="24"/>
          <w:szCs w:val="24"/>
          <w:color w:val="auto"/>
        </w:rPr>
      </w:pPr>
    </w:p>
    <w:p>
      <w:pPr>
        <w:spacing w:after="0"/>
        <w:rPr>
          <w:sz w:val="20"/>
          <w:szCs w:val="20"/>
          <w:color w:val="auto"/>
        </w:rPr>
      </w:pPr>
      <w:r>
        <w:rPr>
          <w:rFonts w:ascii="Segoe UI" w:cs="Segoe UI" w:eastAsia="Segoe UI" w:hAnsi="Segoe UI"/>
          <w:sz w:val="23"/>
          <w:szCs w:val="23"/>
          <w:b w:val="1"/>
          <w:bCs w:val="1"/>
          <w:color w:val="auto"/>
        </w:rPr>
        <w:t>Sheet 3 of 12</w:t>
      </w:r>
    </w:p>
    <w:p>
      <w:pPr>
        <w:sectPr>
          <w:pgSz w:w="12240" w:h="15840" w:orient="portrait"/>
          <w:cols w:equalWidth="0" w:num="1">
            <w:col w:w="10720"/>
          </w:cols>
          <w:pgMar w:left="720" w:top="598" w:right="800" w:bottom="296" w:gutter="0" w:footer="0" w:header="0"/>
          <w:type w:val="continuous"/>
        </w:sectPr>
      </w:pPr>
    </w:p>
    <w:bookmarkStart w:id="1" w:name="page2"/>
    <w:bookmarkEnd w:id="1"/>
    <w:p>
      <w:pPr>
        <w:spacing w:after="0" w:line="315" w:lineRule="auto"/>
        <w:rPr>
          <w:sz w:val="20"/>
          <w:szCs w:val="20"/>
          <w:color w:val="auto"/>
        </w:rPr>
      </w:pPr>
      <w:r>
        <w:rPr>
          <w:rFonts w:ascii="Segoe UI" w:cs="Segoe UI" w:eastAsia="Segoe UI" w:hAnsi="Segoe UI"/>
          <w:sz w:val="24"/>
          <w:szCs w:val="24"/>
          <w:color w:val="auto"/>
        </w:rPr>
        <w:t>Depicts the Distributed Quantum Sensor Network topology, showing the spatial arrangement of sensor nodes (301-320), synchronization mechanisms using IEEE 1588 PTP (321), and communication pathways (322-340). The diagram includes SQUID arrays (341-344), single-photon detectors (345-348), temperature sensors (349-352), and acoustic monitoring devices (353-356) in both hierarchical and mesh configurations. Network management AI agents (357-360) coordinate sensor operations.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76835</wp:posOffset>
            </wp:positionV>
            <wp:extent cx="6858000" cy="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352"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FIGURE 4 - Machine Learning Quantum Leakage Detector Architecture</w:t>
      </w:r>
    </w:p>
    <w:p>
      <w:pPr>
        <w:spacing w:after="0" w:line="189"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Sheet 4 of 12</w:t>
      </w:r>
    </w:p>
    <w:p>
      <w:pPr>
        <w:spacing w:after="0" w:line="281" w:lineRule="exact"/>
        <w:rPr>
          <w:sz w:val="20"/>
          <w:szCs w:val="20"/>
          <w:color w:val="auto"/>
        </w:rPr>
      </w:pPr>
    </w:p>
    <w:p>
      <w:pPr>
        <w:ind w:right="40"/>
        <w:spacing w:after="0" w:line="311" w:lineRule="auto"/>
        <w:rPr>
          <w:sz w:val="20"/>
          <w:szCs w:val="20"/>
          <w:color w:val="auto"/>
        </w:rPr>
      </w:pPr>
      <w:r>
        <w:rPr>
          <w:rFonts w:ascii="Segoe UI" w:cs="Segoe UI" w:eastAsia="Segoe UI" w:hAnsi="Segoe UI"/>
          <w:sz w:val="24"/>
          <w:szCs w:val="24"/>
          <w:color w:val="auto"/>
        </w:rPr>
        <w:t>Illustrates the Machine Learning Quantum Leakage Detector architecture implemented by AI agents, showing the hierarchical arrangement of deep learning models. Components include convolutional neural networks for spectrum analysis (401-404), recurrent neural networks for temporal sequences (405-408), gradient boosting ensembles (409-412), and anomaly detection algorithms (413-416). Data preprocessing pipeline (417) and feature extraction modules (418-420) are clearly depicted. AI agent orchestration layer (421-424) manages model coordination.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88265</wp:posOffset>
            </wp:positionV>
            <wp:extent cx="6858000" cy="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370"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FIGURE 5 - Real-Time Quantum Countermeasure Engine</w:t>
      </w:r>
    </w:p>
    <w:p>
      <w:pPr>
        <w:spacing w:after="0" w:line="189"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Sheet 5 of 12</w:t>
      </w:r>
    </w:p>
    <w:p>
      <w:pPr>
        <w:spacing w:after="0" w:line="281" w:lineRule="exact"/>
        <w:rPr>
          <w:sz w:val="20"/>
          <w:szCs w:val="20"/>
          <w:color w:val="auto"/>
        </w:rPr>
      </w:pPr>
    </w:p>
    <w:p>
      <w:pPr>
        <w:spacing w:after="0" w:line="315" w:lineRule="auto"/>
        <w:rPr>
          <w:sz w:val="20"/>
          <w:szCs w:val="20"/>
          <w:color w:val="auto"/>
        </w:rPr>
      </w:pPr>
      <w:r>
        <w:rPr>
          <w:rFonts w:ascii="Segoe UI" w:cs="Segoe UI" w:eastAsia="Segoe UI" w:hAnsi="Segoe UI"/>
          <w:sz w:val="24"/>
          <w:szCs w:val="24"/>
          <w:color w:val="auto"/>
        </w:rPr>
        <w:t>Presents the Real-Time Quantum Countermeasure Engine showing the policy-driven response framework (501), graduated countermeasure deployment system (502-510), and integration with physical security systems (511-515). The diagram illustrates passive monitoring enhancements (516-520), active defensive responses (521-525), and emergency response protocols (526-530). Policy enforcement AI agents (531-535) manage response decisions.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76835</wp:posOffset>
            </wp:positionV>
            <wp:extent cx="6858000" cy="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352"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FIGURE 6 - Hardware Security Module Integration</w:t>
      </w:r>
    </w:p>
    <w:p>
      <w:pPr>
        <w:spacing w:after="0" w:line="189"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Sheet 6 of 12</w:t>
      </w:r>
    </w:p>
    <w:p>
      <w:pPr>
        <w:spacing w:after="0" w:line="296" w:lineRule="exact"/>
        <w:rPr>
          <w:sz w:val="20"/>
          <w:szCs w:val="20"/>
          <w:color w:val="auto"/>
        </w:rPr>
      </w:pPr>
    </w:p>
    <w:p>
      <w:pPr>
        <w:ind w:right="40"/>
        <w:spacing w:after="0" w:line="312" w:lineRule="auto"/>
        <w:rPr>
          <w:sz w:val="20"/>
          <w:szCs w:val="20"/>
          <w:color w:val="auto"/>
        </w:rPr>
      </w:pPr>
      <w:r>
        <w:rPr>
          <w:rFonts w:ascii="Segoe UI" w:cs="Segoe UI" w:eastAsia="Segoe UI" w:hAnsi="Segoe UI"/>
          <w:sz w:val="24"/>
          <w:szCs w:val="24"/>
          <w:color w:val="auto"/>
        </w:rPr>
        <w:t>Depicts Hardware Security Module integration architecture, showing secure communication channels (601-604), firmware extensions (605-608), and crypto-agile frameworks (609-612). The diagram illustrates support for both classical and post-quantum algorithms operating simultaneously, with dedicated monitoring for each algorithm type (613-620). HSM coordination AI agents (621-624) manage the integration.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89535</wp:posOffset>
            </wp:positionV>
            <wp:extent cx="6858000" cy="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372"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FIGURE 7 - Multi-Modal Correlation Analysis System</w:t>
      </w:r>
    </w:p>
    <w:p>
      <w:pPr>
        <w:sectPr>
          <w:pgSz w:w="12240" w:h="15840" w:orient="portrait"/>
          <w:cols w:equalWidth="0" w:num="1">
            <w:col w:w="10760"/>
          </w:cols>
          <w:pgMar w:left="720" w:top="349" w:right="760" w:bottom="341" w:gutter="0" w:footer="0" w:header="0"/>
        </w:sectPr>
      </w:pPr>
    </w:p>
    <w:p>
      <w:pPr>
        <w:spacing w:after="0" w:line="189" w:lineRule="exact"/>
        <w:rPr>
          <w:sz w:val="20"/>
          <w:szCs w:val="20"/>
          <w:color w:val="auto"/>
        </w:rPr>
      </w:pPr>
    </w:p>
    <w:p>
      <w:pPr>
        <w:spacing w:after="0"/>
        <w:rPr>
          <w:sz w:val="20"/>
          <w:szCs w:val="20"/>
          <w:color w:val="auto"/>
        </w:rPr>
      </w:pPr>
      <w:r>
        <w:rPr>
          <w:rFonts w:ascii="Segoe UI" w:cs="Segoe UI" w:eastAsia="Segoe UI" w:hAnsi="Segoe UI"/>
          <w:sz w:val="23"/>
          <w:szCs w:val="23"/>
          <w:b w:val="1"/>
          <w:bCs w:val="1"/>
          <w:color w:val="auto"/>
        </w:rPr>
        <w:t>Sheet 7 of 12</w:t>
      </w:r>
    </w:p>
    <w:p>
      <w:pPr>
        <w:sectPr>
          <w:pgSz w:w="12240" w:h="15840" w:orient="portrait"/>
          <w:cols w:equalWidth="0" w:num="1">
            <w:col w:w="10760"/>
          </w:cols>
          <w:pgMar w:left="720" w:top="349" w:right="760" w:bottom="341" w:gutter="0" w:footer="0" w:header="0"/>
          <w:type w:val="continuous"/>
        </w:sectPr>
      </w:pPr>
    </w:p>
    <w:bookmarkStart w:id="2" w:name="page3"/>
    <w:bookmarkEnd w:id="2"/>
    <w:p>
      <w:pPr>
        <w:spacing w:after="0" w:line="314" w:lineRule="auto"/>
        <w:rPr>
          <w:sz w:val="20"/>
          <w:szCs w:val="20"/>
          <w:color w:val="auto"/>
        </w:rPr>
      </w:pPr>
      <w:r>
        <w:rPr>
          <w:rFonts w:ascii="Segoe UI" w:cs="Segoe UI" w:eastAsia="Segoe UI" w:hAnsi="Segoe UI"/>
          <w:sz w:val="23"/>
          <w:szCs w:val="23"/>
          <w:color w:val="auto"/>
        </w:rPr>
        <w:t>Illustrates the multi-modal correlation analysis system showing how electromagnetic (701), power (702), timing (703), acoustic (704), photonic (705), and thermal (706) measurements are combined to identify complex attack patterns. Cross-correlation engines (707-712) and machine learning fusion modules (713-</w:t>
      </w:r>
    </w:p>
    <w:p>
      <w:pPr>
        <w:spacing w:after="0" w:line="3" w:lineRule="exact"/>
        <w:rPr>
          <w:sz w:val="20"/>
          <w:szCs w:val="20"/>
          <w:color w:val="auto"/>
        </w:rPr>
      </w:pPr>
    </w:p>
    <w:p>
      <w:pPr>
        <w:ind w:right="340"/>
        <w:spacing w:after="0" w:line="357" w:lineRule="auto"/>
        <w:tabs>
          <w:tab w:leader="none" w:pos="508" w:val="left"/>
        </w:tabs>
        <w:numPr>
          <w:ilvl w:val="0"/>
          <w:numId w:val="1"/>
        </w:numPr>
        <w:rPr>
          <w:rFonts w:ascii="Segoe UI" w:cs="Segoe UI" w:eastAsia="Segoe UI" w:hAnsi="Segoe UI"/>
          <w:sz w:val="24"/>
          <w:szCs w:val="24"/>
          <w:color w:val="auto"/>
        </w:rPr>
      </w:pPr>
      <w:r>
        <w:rPr>
          <w:rFonts w:ascii="Segoe UI" w:cs="Segoe UI" w:eastAsia="Segoe UI" w:hAnsi="Segoe UI"/>
          <w:sz w:val="24"/>
          <w:szCs w:val="24"/>
          <w:color w:val="auto"/>
        </w:rPr>
        <w:t>demonstrate the integration process. Correlation analysis AI agents (719-722) optimize detection algorithms.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39370</wp:posOffset>
            </wp:positionV>
            <wp:extent cx="6858000" cy="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93"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FIGURE 8 - Compliance Framework Architecture</w:t>
      </w:r>
    </w:p>
    <w:p>
      <w:pPr>
        <w:spacing w:after="0" w:line="189"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Sheet 8 of 12</w:t>
      </w:r>
    </w:p>
    <w:p>
      <w:pPr>
        <w:spacing w:after="0" w:line="281" w:lineRule="exact"/>
        <w:rPr>
          <w:sz w:val="20"/>
          <w:szCs w:val="20"/>
          <w:color w:val="auto"/>
        </w:rPr>
      </w:pPr>
    </w:p>
    <w:p>
      <w:pPr>
        <w:ind w:right="20"/>
        <w:spacing w:after="0" w:line="315" w:lineRule="auto"/>
        <w:rPr>
          <w:sz w:val="20"/>
          <w:szCs w:val="20"/>
          <w:color w:val="auto"/>
        </w:rPr>
      </w:pPr>
      <w:r>
        <w:rPr>
          <w:rFonts w:ascii="Segoe UI" w:cs="Segoe UI" w:eastAsia="Segoe UI" w:hAnsi="Segoe UI"/>
          <w:sz w:val="24"/>
          <w:szCs w:val="24"/>
          <w:color w:val="auto"/>
        </w:rPr>
        <w:t>Shows the compliance framework architecture with automated testing modules (801-804), documentation generation systems (805-808), and continuous monitoring components (809-812) for FIPS 140-3, Common Criteria EAL7, and ISO/IEC 19790 compliance. Certification workflows (813-816) and audit trail mechanisms (817-820) are depicted. Compliance monitoring AI agents (821-824) ensure regulatory adherence.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76835</wp:posOffset>
            </wp:positionV>
            <wp:extent cx="6858000" cy="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352"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FIGURE 9 - Distributed Processing Architecture</w:t>
      </w:r>
    </w:p>
    <w:p>
      <w:pPr>
        <w:spacing w:after="0" w:line="189"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Sheet 9 of 12</w:t>
      </w:r>
    </w:p>
    <w:p>
      <w:pPr>
        <w:spacing w:after="0" w:line="296" w:lineRule="exact"/>
        <w:rPr>
          <w:sz w:val="20"/>
          <w:szCs w:val="20"/>
          <w:color w:val="auto"/>
        </w:rPr>
      </w:pPr>
    </w:p>
    <w:p>
      <w:pPr>
        <w:ind w:right="160"/>
        <w:spacing w:after="0" w:line="313" w:lineRule="auto"/>
        <w:rPr>
          <w:sz w:val="20"/>
          <w:szCs w:val="20"/>
          <w:color w:val="auto"/>
        </w:rPr>
      </w:pPr>
      <w:r>
        <w:rPr>
          <w:rFonts w:ascii="Segoe UI" w:cs="Segoe UI" w:eastAsia="Segoe UI" w:hAnsi="Segoe UI"/>
          <w:sz w:val="23"/>
          <w:szCs w:val="23"/>
          <w:color w:val="auto"/>
        </w:rPr>
        <w:t>Depicts the distributed processing architecture showing edge nodes (901-910), regional aggregation centers (911-915), and global threat intelligence platforms (916-920). Load balancing mechanisms (921-</w:t>
      </w:r>
    </w:p>
    <w:p>
      <w:pPr>
        <w:spacing w:after="0" w:line="1" w:lineRule="exact"/>
        <w:rPr>
          <w:sz w:val="20"/>
          <w:szCs w:val="20"/>
          <w:color w:val="auto"/>
        </w:rPr>
      </w:pPr>
    </w:p>
    <w:p>
      <w:pPr>
        <w:ind w:right="120"/>
        <w:spacing w:after="0" w:line="383" w:lineRule="auto"/>
        <w:tabs>
          <w:tab w:leader="none" w:pos="508" w:val="left"/>
        </w:tabs>
        <w:numPr>
          <w:ilvl w:val="0"/>
          <w:numId w:val="2"/>
        </w:numPr>
        <w:rPr>
          <w:rFonts w:ascii="Segoe UI" w:cs="Segoe UI" w:eastAsia="Segoe UI" w:hAnsi="Segoe UI"/>
          <w:sz w:val="23"/>
          <w:szCs w:val="23"/>
          <w:color w:val="auto"/>
        </w:rPr>
      </w:pPr>
      <w:r>
        <w:rPr>
          <w:rFonts w:ascii="Segoe UI" w:cs="Segoe UI" w:eastAsia="Segoe UI" w:hAnsi="Segoe UI"/>
          <w:sz w:val="23"/>
          <w:szCs w:val="23"/>
          <w:color w:val="auto"/>
        </w:rPr>
        <w:t>and elastic scaling systems (926-930) demonstrate system scalability from single HSM to enterprise deployments. Distributed management AI agents (931-935) coordinate processing resources.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32385</wp:posOffset>
            </wp:positionV>
            <wp:extent cx="6858000" cy="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81"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FIGURE 10 - Quantum-Classical Interface Security</w:t>
      </w:r>
    </w:p>
    <w:p>
      <w:pPr>
        <w:spacing w:after="0" w:line="189"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Sheet 10 of 12</w:t>
      </w:r>
    </w:p>
    <w:p>
      <w:pPr>
        <w:spacing w:after="0" w:line="281" w:lineRule="exact"/>
        <w:rPr>
          <w:sz w:val="20"/>
          <w:szCs w:val="20"/>
          <w:color w:val="auto"/>
        </w:rPr>
      </w:pPr>
    </w:p>
    <w:p>
      <w:pPr>
        <w:jc w:val="both"/>
        <w:ind w:right="440"/>
        <w:spacing w:after="0" w:line="336" w:lineRule="auto"/>
        <w:rPr>
          <w:sz w:val="20"/>
          <w:szCs w:val="20"/>
          <w:color w:val="auto"/>
        </w:rPr>
      </w:pPr>
      <w:r>
        <w:rPr>
          <w:rFonts w:ascii="Segoe UI" w:cs="Segoe UI" w:eastAsia="Segoe UI" w:hAnsi="Segoe UI"/>
          <w:sz w:val="23"/>
          <w:szCs w:val="23"/>
          <w:color w:val="auto"/>
        </w:rPr>
        <w:t>Illustrates the quantum-classical interface security system showing monitoring points for SFQ circuits (1001-1004), qubit control electronics (1005-1008), and measurement readout channels (1009-1012). Isolation barriers (1013-1016) and correlation analysis components (1017-1020) for hybrid quantum-classical systems are depicted. Interface security AI agents (1021-1024) monitor boundary conditions.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71755</wp:posOffset>
            </wp:positionV>
            <wp:extent cx="6858000" cy="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344"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FIGURE 11 - Operational Management Dashboard</w:t>
      </w:r>
    </w:p>
    <w:p>
      <w:pPr>
        <w:spacing w:after="0" w:line="189"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Sheet 11 of 12</w:t>
      </w:r>
    </w:p>
    <w:p>
      <w:pPr>
        <w:spacing w:after="0" w:line="281" w:lineRule="exact"/>
        <w:rPr>
          <w:sz w:val="20"/>
          <w:szCs w:val="20"/>
          <w:color w:val="auto"/>
        </w:rPr>
      </w:pPr>
    </w:p>
    <w:p>
      <w:pPr>
        <w:ind w:right="340"/>
        <w:spacing w:after="0" w:line="352" w:lineRule="auto"/>
        <w:rPr>
          <w:sz w:val="20"/>
          <w:szCs w:val="20"/>
          <w:color w:val="auto"/>
        </w:rPr>
      </w:pPr>
      <w:r>
        <w:rPr>
          <w:rFonts w:ascii="Segoe UI" w:cs="Segoe UI" w:eastAsia="Segoe UI" w:hAnsi="Segoe UI"/>
          <w:sz w:val="23"/>
          <w:szCs w:val="23"/>
          <w:color w:val="auto"/>
        </w:rPr>
        <w:t>Presents the operational management dashboard interface showing real-time threat indicators (1101-1105), system performance metrics (1106-1110), and forensic analysis interfaces (1111-1115). Customizable visualizations (1116-1120) and alert mechanisms (1121-1125) provide comprehensive</w:t>
      </w:r>
    </w:p>
    <w:p>
      <w:pPr>
        <w:sectPr>
          <w:pgSz w:w="12240" w:h="15840" w:orient="portrait"/>
          <w:cols w:equalWidth="0" w:num="1">
            <w:col w:w="10740"/>
          </w:cols>
          <w:pgMar w:left="720" w:top="349" w:right="780" w:bottom="0" w:gutter="0" w:footer="0" w:header="0"/>
        </w:sectPr>
      </w:pPr>
    </w:p>
    <w:bookmarkStart w:id="3" w:name="page4"/>
    <w:bookmarkEnd w:id="3"/>
    <w:p>
      <w:pPr>
        <w:ind w:right="660"/>
        <w:spacing w:after="0" w:line="360" w:lineRule="auto"/>
        <w:rPr>
          <w:sz w:val="20"/>
          <w:szCs w:val="20"/>
          <w:color w:val="auto"/>
        </w:rPr>
      </w:pPr>
      <w:r>
        <w:rPr>
          <w:rFonts w:ascii="Segoe UI" w:cs="Segoe UI" w:eastAsia="Segoe UI" w:hAnsi="Segoe UI"/>
          <w:sz w:val="24"/>
          <w:szCs w:val="24"/>
          <w:color w:val="auto"/>
        </w:rPr>
        <w:t>situational awareness for security operators. Visualization AI agents (1126-1130) generate intuitive displays.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46355</wp:posOffset>
            </wp:positionV>
            <wp:extent cx="6858000" cy="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304"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FIGURE 12 - Quantum Random Number Generation Integration</w:t>
      </w:r>
    </w:p>
    <w:p>
      <w:pPr>
        <w:spacing w:after="0" w:line="189"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Sheet 12 of 12</w:t>
      </w:r>
    </w:p>
    <w:p>
      <w:pPr>
        <w:spacing w:after="0" w:line="281" w:lineRule="exact"/>
        <w:rPr>
          <w:sz w:val="20"/>
          <w:szCs w:val="20"/>
          <w:color w:val="auto"/>
        </w:rPr>
      </w:pPr>
    </w:p>
    <w:p>
      <w:pPr>
        <w:spacing w:after="0" w:line="315" w:lineRule="auto"/>
        <w:rPr>
          <w:sz w:val="20"/>
          <w:szCs w:val="20"/>
          <w:color w:val="auto"/>
        </w:rPr>
      </w:pPr>
      <w:r>
        <w:rPr>
          <w:rFonts w:ascii="Segoe UI" w:cs="Segoe UI" w:eastAsia="Segoe UI" w:hAnsi="Segoe UI"/>
          <w:sz w:val="24"/>
          <w:szCs w:val="24"/>
          <w:color w:val="auto"/>
        </w:rPr>
        <w:t>Depicts the quantum random number generation integration showing entropy sources (1201-1204), extraction algorithms (1205-1208), health monitoring systems (1209-1212), and secure interfaces for cryptographic key generation (1213-1216). Side-channel protection mechanisms (1217-1220) specifically designed for QRNG systems are illustrated. QRNG management AI agents (1221-1224) ensure entropy quality.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76835</wp:posOffset>
            </wp:positionV>
            <wp:extent cx="6858000" cy="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328"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REFERENCE NUMERALS</w:t>
      </w:r>
    </w:p>
    <w:p>
      <w:pPr>
        <w:spacing w:after="0" w:line="233"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100-199: System Architecture Components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200-299: Electromagnetic Analysis Components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300-399: Sensor Network Components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400-499: Machine Learning Components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500-599: Countermeasure Engine Components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600-699: HSM Integration Components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700-799: Correlation Analysis Components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800-899: Compliance Framework Components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900-999: Distributed Processing Components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1000-1099: Quantum-Classical Interface Components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1100-1199: Management Dashboard Components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1200-1299: QRNG Integration Components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194945</wp:posOffset>
            </wp:positionV>
            <wp:extent cx="6858000" cy="952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28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Note:</w:t>
      </w:r>
      <w:r>
        <w:rPr>
          <w:rFonts w:ascii="Segoe UI" w:cs="Segoe UI" w:eastAsia="Segoe UI" w:hAnsi="Segoe UI"/>
          <w:sz w:val="24"/>
          <w:szCs w:val="24"/>
          <w:color w:val="auto"/>
        </w:rPr>
        <w:t xml:space="preserve"> Drawings should be prepared in accordance with 37 CFR 1.84 requirements:</w:t>
      </w:r>
    </w:p>
    <w:p>
      <w:pPr>
        <w:spacing w:after="0" w:line="29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Black ink on white paper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Sufficient quality for reproduction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0">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Margins: Top and Left (2.5 cm), Right (1.5 cm), Bottom (1.0 cm)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1">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Sheet size: Either 21.0 cm × 29.7 cm (A4) or 21.6 cm × 27.9 cm (8.5" × 11")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2">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No color drawings for provisional applications unless specifically required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3">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204470</wp:posOffset>
            </wp:positionV>
            <wp:extent cx="6858000" cy="952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4">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ectPr>
          <w:pgSz w:w="12240" w:h="15840" w:orient="portrait"/>
          <w:cols w:equalWidth="0" w:num="1">
            <w:col w:w="10660"/>
          </w:cols>
          <w:pgMar w:left="720" w:top="349" w:right="860" w:bottom="372" w:gutter="0" w:footer="0" w:header="0"/>
        </w:sectPr>
      </w:pPr>
    </w:p>
    <w:bookmarkStart w:id="4" w:name="page5"/>
    <w:bookmarkEnd w:id="4"/>
    <w:p>
      <w:pPr>
        <w:spacing w:after="0"/>
        <w:rPr>
          <w:sz w:val="20"/>
          <w:szCs w:val="20"/>
          <w:color w:val="auto"/>
        </w:rPr>
      </w:pPr>
      <w:r>
        <w:rPr>
          <w:rFonts w:ascii="Segoe UI" w:cs="Segoe UI" w:eastAsia="Segoe UI" w:hAnsi="Segoe UI"/>
          <w:sz w:val="24"/>
          <w:szCs w:val="24"/>
          <w:b w:val="1"/>
          <w:bCs w:val="1"/>
          <w:color w:val="auto"/>
        </w:rPr>
        <w:t>Prepared by:</w:t>
      </w:r>
      <w:r>
        <w:rPr>
          <w:rFonts w:ascii="Segoe UI" w:cs="Segoe UI" w:eastAsia="Segoe UI" w:hAnsi="Segoe UI"/>
          <w:sz w:val="24"/>
          <w:szCs w:val="24"/>
          <w:color w:val="auto"/>
        </w:rPr>
        <w:t xml:space="preserve"> Brian James Rutherford</w:t>
      </w:r>
    </w:p>
    <w:p>
      <w:pPr>
        <w:spacing w:after="0" w:line="94"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Date:</w:t>
      </w:r>
      <w:r>
        <w:rPr>
          <w:rFonts w:ascii="Segoe UI" w:cs="Segoe UI" w:eastAsia="Segoe UI" w:hAnsi="Segoe UI"/>
          <w:sz w:val="24"/>
          <w:szCs w:val="24"/>
          <w:color w:val="auto"/>
        </w:rPr>
        <w:t xml:space="preserve"> _______________</w:t>
      </w:r>
    </w:p>
    <w:p>
      <w:pPr>
        <w:spacing w:after="0" w:line="71" w:lineRule="exact"/>
        <w:rPr>
          <w:sz w:val="20"/>
          <w:szCs w:val="20"/>
          <w:color w:val="auto"/>
        </w:rPr>
      </w:pPr>
    </w:p>
    <w:p>
      <w:pPr>
        <w:spacing w:after="0"/>
        <w:rPr>
          <w:sz w:val="20"/>
          <w:szCs w:val="20"/>
          <w:color w:val="auto"/>
        </w:rPr>
      </w:pPr>
      <w:r>
        <w:rPr>
          <w:rFonts w:ascii="Segoe UI" w:cs="Segoe UI" w:eastAsia="Segoe UI" w:hAnsi="Segoe UI"/>
          <w:sz w:val="23"/>
          <w:szCs w:val="23"/>
          <w:b w:val="1"/>
          <w:bCs w:val="1"/>
          <w:color w:val="auto"/>
        </w:rPr>
        <w:t>Docket Number:</w:t>
      </w:r>
      <w:r>
        <w:rPr>
          <w:rFonts w:ascii="Segoe UI" w:cs="Segoe UI" w:eastAsia="Segoe UI" w:hAnsi="Segoe UI"/>
          <w:sz w:val="23"/>
          <w:szCs w:val="23"/>
          <w:color w:val="auto"/>
        </w:rPr>
        <w:t xml:space="preserve"> RUTHERFORD-015-PROV</w:t>
      </w:r>
    </w:p>
    <w:sectPr>
      <w:pgSz w:w="12240" w:h="15840" w:orient="portrait"/>
      <w:cols w:equalWidth="0" w:num="1">
        <w:col w:w="10080"/>
      </w:cols>
      <w:pgMar w:left="720" w:top="349"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200001FF" w:csb1="00000000"/>
  </w:font>
</w:fonts>
</file>

<file path=word/numbering.xml><?xml version="1.0" encoding="utf-8"?>
<w:numbering xmlns:w="http://schemas.openxmlformats.org/wordprocessingml/2006/main">
  <w:abstractNum w:abstractNumId="0">
    <w:nsid w:val="643C9869"/>
    <w:multiLevelType w:val="hybridMultilevel"/>
    <w:lvl w:ilvl="0">
      <w:lvlJc w:val="left"/>
      <w:lvlText w:val="%1)"/>
      <w:numFmt w:val="decimal"/>
      <w:start w:val="718"/>
    </w:lvl>
  </w:abstractNum>
  <w:abstractNum w:abstractNumId="1">
    <w:nsid w:val="66334873"/>
    <w:multiLevelType w:val="hybridMultilevel"/>
    <w:lvl w:ilvl="0">
      <w:lvlJc w:val="left"/>
      <w:lvlText w:val="%1)"/>
      <w:numFmt w:val="decimal"/>
      <w:start w:val="925"/>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2025-08-20T09:59:07Z</dcterms:created>
  <dcterms:modified xsi:type="dcterms:W3CDTF">2025-08-20T09:59:07Z</dcterms:modified>
</cp:coreProperties>
</file>