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CERTIFICATION OF MICRO ENTITY STATUS</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(GROSS INCOME BASIS)</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Form PTO/SB/15A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136525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APPLICATION INFORMATION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To be assigned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First Named Inventor:</w:t>
      </w:r>
      <w:r>
        <w:rPr>
          <w:rFonts w:ascii="Segoe UI" w:cs="Segoe UI" w:eastAsia="Segoe UI" w:hAnsi="Segoe UI"/>
          <w:sz w:val="24"/>
          <w:szCs w:val="24"/>
          <w:color w:val="auto"/>
        </w:rPr>
        <w:t xml:space="preserve"> Brian James Rutherford</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3"/>
          <w:szCs w:val="23"/>
          <w:b w:val="1"/>
          <w:bCs w:val="1"/>
          <w:color w:val="auto"/>
        </w:rPr>
        <w:t>Title:</w:t>
      </w:r>
      <w:r>
        <w:rPr>
          <w:rFonts w:ascii="Segoe UI" w:cs="Segoe UI" w:eastAsia="Segoe UI" w:hAnsi="Segoe UI"/>
          <w:sz w:val="23"/>
          <w:szCs w:val="23"/>
          <w:color w:val="auto"/>
        </w:rPr>
        <w:t xml:space="preserve"> TEMPORAL QUANTUM VULNERABILITY FORECASTING SYSTEM WITH AUTOMATED QUANTUM-</w:t>
      </w:r>
    </w:p>
    <w:p>
      <w:pPr>
        <w:spacing w:after="0" w:line="84" w:lineRule="exact"/>
        <w:rPr>
          <w:sz w:val="24"/>
          <w:szCs w:val="24"/>
          <w:color w:val="auto"/>
        </w:rPr>
      </w:pPr>
    </w:p>
    <w:p>
      <w:pPr>
        <w:spacing w:after="0"/>
        <w:rPr>
          <w:sz w:val="20"/>
          <w:szCs w:val="20"/>
          <w:color w:val="auto"/>
        </w:rPr>
      </w:pPr>
      <w:r>
        <w:rPr>
          <w:rFonts w:ascii="Segoe UI" w:cs="Segoe UI" w:eastAsia="Segoe UI" w:hAnsi="Segoe UI"/>
          <w:sz w:val="24"/>
          <w:szCs w:val="24"/>
          <w:color w:val="auto"/>
        </w:rPr>
        <w:t>SAFE MIGRATION PLANNING</w:t>
      </w:r>
    </w:p>
    <w:p>
      <w:pPr>
        <w:spacing w:after="0" w:line="8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RUTHERFORD-014-PROV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CERTIFICATION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QUALIFYING AS A MICRO ENTITY</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3"/>
          <w:szCs w:val="23"/>
          <w:color w:val="auto"/>
        </w:rPr>
        <w:t>I qualify as a micro entity as defined in 37 CFR 1.29(a) because I meet ALL of the following requirements:</w:t>
      </w:r>
    </w:p>
    <w:p>
      <w:pPr>
        <w:spacing w:after="0" w:line="33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Requirement A - Limited Patent Filings</w:t>
      </w:r>
    </w:p>
    <w:p>
      <w:pPr>
        <w:spacing w:after="0" w:line="266" w:lineRule="exact"/>
        <w:rPr>
          <w:sz w:val="24"/>
          <w:szCs w:val="24"/>
          <w:color w:val="auto"/>
        </w:rPr>
      </w:pPr>
    </w:p>
    <w:p>
      <w:pPr>
        <w:ind w:right="660"/>
        <w:spacing w:after="0" w:line="371" w:lineRule="auto"/>
        <w:tabs>
          <w:tab w:leader="none" w:pos="265"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have not been named as an inventor on more than </w:t>
      </w:r>
      <w:r>
        <w:rPr>
          <w:rFonts w:ascii="Segoe UI" w:cs="Segoe UI" w:eastAsia="Segoe UI" w:hAnsi="Segoe UI"/>
          <w:sz w:val="24"/>
          <w:szCs w:val="24"/>
          <w:b w:val="1"/>
          <w:bCs w:val="1"/>
          <w:color w:val="auto"/>
        </w:rPr>
        <w:t>FOUR</w:t>
      </w:r>
      <w:r>
        <w:rPr>
          <w:rFonts w:ascii="Segoe UI" w:cs="Segoe UI" w:eastAsia="Segoe UI" w:hAnsi="Segoe UI"/>
          <w:sz w:val="24"/>
          <w:szCs w:val="24"/>
          <w:color w:val="auto"/>
        </w:rPr>
        <w:t xml:space="preserve"> previously filed patent applications, excluding:</w:t>
      </w:r>
    </w:p>
    <w:p>
      <w:pPr>
        <w:spacing w:after="0" w:line="18"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Applications filed in another country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Provisional applications under 35 U.S.C. 111(b)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right="120"/>
        <w:spacing w:after="0" w:line="360" w:lineRule="auto"/>
        <w:rPr>
          <w:sz w:val="20"/>
          <w:szCs w:val="20"/>
          <w:color w:val="auto"/>
        </w:rPr>
      </w:pPr>
      <w:r>
        <w:rPr>
          <w:rFonts w:ascii="Segoe UI" w:cs="Segoe UI" w:eastAsia="Segoe UI" w:hAnsi="Segoe UI"/>
          <w:sz w:val="24"/>
          <w:szCs w:val="24"/>
          <w:color w:val="auto"/>
        </w:rPr>
        <w:t>International applications under the Patent Cooperation Treaty for which the basic national fee was not paid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 w:lineRule="exact"/>
        <w:rPr>
          <w:sz w:val="24"/>
          <w:szCs w:val="24"/>
          <w:color w:val="auto"/>
        </w:rPr>
      </w:pPr>
    </w:p>
    <w:p>
      <w:pPr>
        <w:ind w:right="2680"/>
        <w:spacing w:after="0" w:line="444" w:lineRule="auto"/>
        <w:rPr>
          <w:sz w:val="20"/>
          <w:szCs w:val="20"/>
          <w:color w:val="auto"/>
        </w:rPr>
      </w:pPr>
      <w:r>
        <w:rPr>
          <w:rFonts w:ascii="Segoe UI" w:cs="Segoe UI" w:eastAsia="Segoe UI" w:hAnsi="Segoe UI"/>
          <w:sz w:val="24"/>
          <w:szCs w:val="24"/>
          <w:b w:val="1"/>
          <w:bCs w:val="1"/>
          <w:color w:val="auto"/>
        </w:rPr>
        <w:t xml:space="preserve">Number of previous U.S. patent applications where named as inventor: </w:t>
      </w:r>
      <w:r>
        <w:rPr>
          <w:rFonts w:ascii="Segoe UI" w:cs="Segoe UI" w:eastAsia="Segoe UI" w:hAnsi="Segoe UI"/>
          <w:sz w:val="24"/>
          <w:szCs w:val="24"/>
          <w:b w:val="1"/>
          <w:bCs w:val="1"/>
          <w:i w:val="1"/>
          <w:iCs w:val="1"/>
          <w:color w:val="auto"/>
        </w:rPr>
        <w:t>0</w:t>
      </w:r>
      <w:r>
        <w:rPr>
          <w:rFonts w:ascii="Segoe UI" w:cs="Segoe UI" w:eastAsia="Segoe UI" w:hAnsi="Segoe UI"/>
          <w:sz w:val="24"/>
          <w:szCs w:val="24"/>
          <w:b w:val="1"/>
          <w:bCs w:val="1"/>
          <w:color w:val="auto"/>
        </w:rPr>
        <w:t xml:space="preserve"> Requirement B - Gross Income Limit</w:t>
      </w:r>
    </w:p>
    <w:p>
      <w:pPr>
        <w:spacing w:after="0" w:line="49" w:lineRule="exact"/>
        <w:rPr>
          <w:sz w:val="24"/>
          <w:szCs w:val="24"/>
          <w:color w:val="auto"/>
        </w:rPr>
      </w:pPr>
    </w:p>
    <w:p>
      <w:pPr>
        <w:ind w:right="100"/>
        <w:spacing w:after="0" w:line="319" w:lineRule="auto"/>
        <w:tabs>
          <w:tab w:leader="none" w:pos="265"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have not, in the calendar year preceding the calendar year in which the applicable fee is being paid, had a </w:t>
      </w:r>
      <w:r>
        <w:rPr>
          <w:rFonts w:ascii="Segoe UI" w:cs="Segoe UI" w:eastAsia="Segoe UI" w:hAnsi="Segoe UI"/>
          <w:sz w:val="24"/>
          <w:szCs w:val="24"/>
          <w:b w:val="1"/>
          <w:bCs w:val="1"/>
          <w:color w:val="auto"/>
        </w:rPr>
        <w:t>gross income</w:t>
      </w:r>
      <w:r>
        <w:rPr>
          <w:rFonts w:ascii="Segoe UI" w:cs="Segoe UI" w:eastAsia="Segoe UI" w:hAnsi="Segoe UI"/>
          <w:sz w:val="24"/>
          <w:szCs w:val="24"/>
          <w:color w:val="auto"/>
        </w:rPr>
        <w:t xml:space="preserve"> as defined in section 61(a) of the Internal Revenue Code of 1986 (26 U.S.C. 61(a)) exceeding </w:t>
      </w:r>
      <w:r>
        <w:rPr>
          <w:rFonts w:ascii="Segoe UI" w:cs="Segoe UI" w:eastAsia="Segoe UI" w:hAnsi="Segoe UI"/>
          <w:sz w:val="24"/>
          <w:szCs w:val="24"/>
          <w:b w:val="1"/>
          <w:bCs w:val="1"/>
          <w:color w:val="auto"/>
        </w:rPr>
        <w:t>THREE TIMES</w:t>
      </w:r>
      <w:r>
        <w:rPr>
          <w:rFonts w:ascii="Segoe UI" w:cs="Segoe UI" w:eastAsia="Segoe UI" w:hAnsi="Segoe UI"/>
          <w:sz w:val="24"/>
          <w:szCs w:val="24"/>
          <w:color w:val="auto"/>
        </w:rPr>
        <w:t xml:space="preserve"> the median household income for that preceding calendar year, as most recently reported by the Bureau of the Census.</w:t>
      </w:r>
    </w:p>
    <w:p>
      <w:pPr>
        <w:sectPr>
          <w:pgSz w:w="12240" w:h="15840" w:orient="portrait"/>
          <w:cols w:equalWidth="0" w:num="1">
            <w:col w:w="10620"/>
          </w:cols>
          <w:pgMar w:left="720" w:top="598" w:right="900" w:bottom="0" w:gutter="0" w:footer="0" w:header="0"/>
        </w:sectPr>
      </w:pPr>
    </w:p>
    <w:bookmarkStart w:id="1" w:name="page2"/>
    <w:bookmarkEnd w:id="1"/>
    <w:p>
      <w:pPr>
        <w:spacing w:after="0"/>
        <w:rPr>
          <w:sz w:val="20"/>
          <w:szCs w:val="20"/>
          <w:color w:val="auto"/>
        </w:rPr>
      </w:pPr>
      <w:r>
        <w:rPr>
          <w:rFonts w:ascii="Segoe UI" w:cs="Segoe UI" w:eastAsia="Segoe UI" w:hAnsi="Segoe UI"/>
          <w:sz w:val="24"/>
          <w:szCs w:val="24"/>
          <w:b w:val="1"/>
          <w:bCs w:val="1"/>
          <w:color w:val="auto"/>
        </w:rPr>
        <w:t>Current Year:</w:t>
      </w:r>
      <w:r>
        <w:rPr>
          <w:rFonts w:ascii="Segoe UI" w:cs="Segoe UI" w:eastAsia="Segoe UI" w:hAnsi="Segoe UI"/>
          <w:sz w:val="24"/>
          <w:szCs w:val="24"/>
          <w:color w:val="auto"/>
        </w:rPr>
        <w:t xml:space="preserve"> 2024</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Preceding Calendar Year:</w:t>
      </w:r>
      <w:r>
        <w:rPr>
          <w:rFonts w:ascii="Segoe UI" w:cs="Segoe UI" w:eastAsia="Segoe UI" w:hAnsi="Segoe UI"/>
          <w:sz w:val="24"/>
          <w:szCs w:val="24"/>
          <w:color w:val="auto"/>
        </w:rPr>
        <w:t xml:space="preserve"> 2023</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Median Household Income (2023):</w:t>
      </w:r>
      <w:r>
        <w:rPr>
          <w:rFonts w:ascii="Segoe UI" w:cs="Segoe UI" w:eastAsia="Segoe UI" w:hAnsi="Segoe UI"/>
          <w:sz w:val="24"/>
          <w:szCs w:val="24"/>
          <w:color w:val="auto"/>
        </w:rPr>
        <w:t xml:space="preserve"> $75,149</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Three Times Median:</w:t>
      </w:r>
      <w:r>
        <w:rPr>
          <w:rFonts w:ascii="Segoe UI" w:cs="Segoe UI" w:eastAsia="Segoe UI" w:hAnsi="Segoe UI"/>
          <w:sz w:val="24"/>
          <w:szCs w:val="24"/>
          <w:color w:val="auto"/>
        </w:rPr>
        <w:t xml:space="preserve"> $225,447</w:t>
      </w:r>
    </w:p>
    <w:p>
      <w:pPr>
        <w:spacing w:after="0" w:line="27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certify that my gross income in 2023 did not exceed $225,447.</w:t>
      </w:r>
    </w:p>
    <w:p>
      <w:pPr>
        <w:spacing w:after="0" w:line="32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Requirement C - No Obligation to Assign</w:t>
      </w:r>
    </w:p>
    <w:p>
      <w:pPr>
        <w:spacing w:after="0" w:line="266" w:lineRule="exact"/>
        <w:rPr>
          <w:sz w:val="20"/>
          <w:szCs w:val="20"/>
          <w:color w:val="auto"/>
        </w:rPr>
      </w:pPr>
    </w:p>
    <w:p>
      <w:pPr>
        <w:ind w:right="140"/>
        <w:spacing w:after="0" w:line="315" w:lineRule="auto"/>
        <w:tabs>
          <w:tab w:leader="none" w:pos="265"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not assigned, granted, or conveyed, and am not under an obligation by contract or law to assign, grant, or convey, a license or other ownership interest in the application to an entity that, in the calendar year preceding the calendar year in which the applicable fee is being paid, had a gross income as defined in section 61(a) of the Internal Revenue Code of 1986 exceeding three times the median household income.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(2) LOSS OF MICRO ENTITY STATUS</w:t>
      </w:r>
    </w:p>
    <w:p>
      <w:pPr>
        <w:spacing w:after="0" w:line="189" w:lineRule="exact"/>
        <w:rPr>
          <w:sz w:val="20"/>
          <w:szCs w:val="20"/>
          <w:color w:val="auto"/>
        </w:rPr>
      </w:pPr>
    </w:p>
    <w:p>
      <w:pPr>
        <w:ind w:right="540"/>
        <w:spacing w:after="0" w:line="386" w:lineRule="auto"/>
        <w:rPr>
          <w:sz w:val="20"/>
          <w:szCs w:val="20"/>
          <w:color w:val="auto"/>
        </w:rPr>
      </w:pPr>
      <w:r>
        <w:rPr>
          <w:rFonts w:ascii="Segoe UI" w:cs="Segoe UI" w:eastAsia="Segoe UI" w:hAnsi="Segoe UI"/>
          <w:sz w:val="23"/>
          <w:szCs w:val="23"/>
          <w:color w:val="auto"/>
        </w:rPr>
        <w:t>I acknowledge the requirement to notify the Director of any change in status resulting in the loss of entitlement to micro entity status prior to paying a fee at other than the micro entity 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29845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8"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(3) FALSE STATEMENTS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I acknowledge that any false statement knowingly made in this certification is punishable under 18 U.S.C.</w:t>
      </w:r>
    </w:p>
    <w:p>
      <w:pPr>
        <w:spacing w:after="0" w:line="103" w:lineRule="exact"/>
        <w:rPr>
          <w:sz w:val="20"/>
          <w:szCs w:val="20"/>
          <w:color w:val="auto"/>
        </w:rPr>
      </w:pPr>
    </w:p>
    <w:p>
      <w:pPr>
        <w:spacing w:after="0"/>
        <w:rPr>
          <w:sz w:val="20"/>
          <w:szCs w:val="20"/>
          <w:color w:val="auto"/>
        </w:rPr>
      </w:pPr>
      <w:r>
        <w:rPr>
          <w:rFonts w:ascii="Segoe UI" w:cs="Segoe UI" w:eastAsia="Segoe UI" w:hAnsi="Segoe UI"/>
          <w:sz w:val="24"/>
          <w:szCs w:val="24"/>
          <w:color w:val="auto"/>
        </w:rPr>
        <w:t>1001 by fine or imprisonment of not more than five years, or both.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 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20">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jc w:val="both"/>
        <w:ind w:right="1160"/>
        <w:spacing w:after="0" w:line="332" w:lineRule="auto"/>
        <w:rPr>
          <w:sz w:val="20"/>
          <w:szCs w:val="20"/>
          <w:color w:val="auto"/>
        </w:rPr>
      </w:pPr>
      <w:r>
        <w:rPr>
          <w:rFonts w:ascii="Segoe UI" w:cs="Segoe UI" w:eastAsia="Segoe UI" w:hAnsi="Segoe UI"/>
          <w:sz w:val="24"/>
          <w:szCs w:val="24"/>
          <w:b w:val="1"/>
          <w:bCs w:val="1"/>
          <w:color w:val="auto"/>
        </w:rPr>
        <w:t>WARNING:</w:t>
      </w:r>
      <w:r>
        <w:rPr>
          <w:rFonts w:ascii="Segoe UI" w:cs="Segoe UI" w:eastAsia="Segoe UI" w:hAnsi="Segoe UI"/>
          <w:sz w:val="24"/>
          <w:szCs w:val="24"/>
          <w:color w:val="auto"/>
        </w:rPr>
        <w:t xml:space="preserve"> The information provided in this certification will be relied upon by the USPTO in determining micro entity status. Any false statement knowingly made is punishable by fine or imprisonment, or both.</w:t>
      </w:r>
    </w:p>
    <w:p>
      <w:pPr>
        <w:spacing w:after="0" w:line="8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 (Print):</w:t>
      </w:r>
      <w:r>
        <w:rPr>
          <w:rFonts w:ascii="Segoe UI" w:cs="Segoe UI" w:eastAsia="Segoe UI" w:hAnsi="Segoe UI"/>
          <w:sz w:val="24"/>
          <w:szCs w:val="24"/>
          <w:color w:val="auto"/>
        </w:rPr>
        <w:t xml:space="preserve"> Brian James Rutherford</w:t>
      </w:r>
    </w:p>
    <w:p>
      <w:pPr>
        <w:sectPr>
          <w:pgSz w:w="12240" w:h="15840" w:orient="portrait"/>
          <w:cols w:equalWidth="0" w:num="1">
            <w:col w:w="10680"/>
          </w:cols>
          <w:pgMar w:left="720" w:top="349" w:right="840" w:bottom="349" w:gutter="0" w:footer="0" w:header="0"/>
        </w:sectPr>
      </w:pPr>
    </w:p>
    <w:bookmarkStart w:id="2" w:name="page3"/>
    <w:bookmarkEnd w:id="2"/>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Inventor/Applicant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NOTICE</w:t>
      </w:r>
    </w:p>
    <w:p>
      <w:pPr>
        <w:spacing w:after="0" w:line="233" w:lineRule="exact"/>
        <w:rPr>
          <w:sz w:val="20"/>
          <w:szCs w:val="20"/>
          <w:color w:val="auto"/>
        </w:rPr>
      </w:pPr>
    </w:p>
    <w:p>
      <w:pPr>
        <w:spacing w:after="0" w:line="360" w:lineRule="auto"/>
        <w:rPr>
          <w:sz w:val="20"/>
          <w:szCs w:val="20"/>
          <w:color w:val="auto"/>
        </w:rPr>
      </w:pPr>
      <w:r>
        <w:rPr>
          <w:rFonts w:ascii="Segoe UI" w:cs="Segoe UI" w:eastAsia="Segoe UI" w:hAnsi="Segoe UI"/>
          <w:sz w:val="24"/>
          <w:szCs w:val="24"/>
          <w:b w:val="1"/>
          <w:bCs w:val="1"/>
          <w:color w:val="auto"/>
        </w:rPr>
        <w:t>Micro Entity Discount:</w:t>
      </w:r>
      <w:r>
        <w:rPr>
          <w:rFonts w:ascii="Segoe UI" w:cs="Segoe UI" w:eastAsia="Segoe UI" w:hAnsi="Segoe UI"/>
          <w:sz w:val="24"/>
          <w:szCs w:val="24"/>
          <w:color w:val="auto"/>
        </w:rPr>
        <w:t xml:space="preserve"> The micro entity discount provides a 75% reduction in most patent fees, resulting in:</w:t>
      </w:r>
    </w:p>
    <w:p>
      <w:pPr>
        <w:spacing w:after="0" w:line="47"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Provisional Application Basic Filing Fee: $75 (reduced from $300)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Non-Provisional Utility Filing Fees: $455 (reduced from $1,820)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Patent Search and Examination Fees: Proportionally reduced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right="40"/>
        <w:spacing w:after="0" w:line="360" w:lineRule="auto"/>
        <w:rPr>
          <w:sz w:val="20"/>
          <w:szCs w:val="20"/>
          <w:color w:val="auto"/>
        </w:rPr>
      </w:pPr>
      <w:r>
        <w:rPr>
          <w:rFonts w:ascii="Segoe UI" w:cs="Segoe UI" w:eastAsia="Segoe UI" w:hAnsi="Segoe UI"/>
          <w:sz w:val="24"/>
          <w:szCs w:val="24"/>
          <w:b w:val="1"/>
          <w:bCs w:val="1"/>
          <w:color w:val="auto"/>
        </w:rPr>
        <w:t>Continuing Obligation:</w:t>
      </w:r>
      <w:r>
        <w:rPr>
          <w:rFonts w:ascii="Segoe UI" w:cs="Segoe UI" w:eastAsia="Segoe UI" w:hAnsi="Segoe UI"/>
          <w:sz w:val="24"/>
          <w:szCs w:val="24"/>
          <w:color w:val="auto"/>
        </w:rPr>
        <w:t xml:space="preserve"> The applicant must notify the USPTO of any change in micro entity status before paying any fee at other than the micro entity rate.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Form PTO/SB/15A</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OMB No. 0651-0032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U.S. Patent and Trademark Office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Department of Commerce</w:t>
      </w:r>
    </w:p>
    <w:p>
      <w:pPr>
        <w:spacing w:after="0" w:line="273" w:lineRule="exact"/>
        <w:rPr>
          <w:sz w:val="20"/>
          <w:szCs w:val="20"/>
          <w:color w:val="auto"/>
        </w:rPr>
      </w:pPr>
    </w:p>
    <w:p>
      <w:pPr>
        <w:ind w:right="80"/>
        <w:spacing w:after="0" w:line="332" w:lineRule="auto"/>
        <w:rPr>
          <w:sz w:val="20"/>
          <w:szCs w:val="20"/>
          <w:color w:val="auto"/>
        </w:rPr>
      </w:pPr>
      <w:r>
        <w:rPr>
          <w:rFonts w:ascii="Segoe UI" w:cs="Segoe UI" w:eastAsia="Segoe UI" w:hAnsi="Segoe UI"/>
          <w:sz w:val="24"/>
          <w:szCs w:val="24"/>
          <w:b w:val="1"/>
          <w:bCs w:val="1"/>
          <w:color w:val="auto"/>
        </w:rPr>
        <w:t>Privacy Act Statement:</w:t>
      </w:r>
      <w:r>
        <w:rPr>
          <w:rFonts w:ascii="Segoe UI" w:cs="Segoe UI" w:eastAsia="Segoe UI" w:hAnsi="Segoe UI"/>
          <w:sz w:val="24"/>
          <w:szCs w:val="24"/>
          <w:color w:val="auto"/>
        </w:rPr>
        <w:t xml:space="preserve"> The information on this form is required by 37 CFR 1.29. The information is used to determine whether applicant is entitled to micro entity status. This collection is estimated to take 12 minutes to complete.</w:t>
      </w:r>
    </w:p>
    <w:sectPr>
      <w:pgSz w:w="12240" w:h="15840" w:orient="portrait"/>
      <w:cols w:equalWidth="0" w:num="1">
        <w:col w:w="10800"/>
      </w:cols>
      <w:pgMar w:left="720" w:top="349"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0"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2025-08-20T10:08:12Z</dcterms:created>
  <dcterms:modified xsi:type="dcterms:W3CDTF">2025-08-20T10:08:12Z</dcterms:modified>
</cp:coreProperties>
</file>