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6ern5pq087f" w:id="0"/>
      <w:bookmarkEnd w:id="0"/>
      <w:r w:rsidDel="00000000" w:rsidR="00000000" w:rsidRPr="00000000">
        <w:rPr>
          <w:rtl w:val="0"/>
        </w:rPr>
        <w:t xml:space="preserve">The things used for the Demo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WSO2 Enterprise Service Bus (ESB)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WSO2 Identity Server (IS)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Web Service ( SimpleStockQuoteService of WSO2 ESB Samples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24re0hmctvi" w:id="1"/>
      <w:bookmarkEnd w:id="1"/>
      <w:r w:rsidDel="00000000" w:rsidR="00000000" w:rsidRPr="00000000">
        <w:rPr>
          <w:rtl w:val="0"/>
        </w:rPr>
        <w:t xml:space="preserve">The demo setup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the SimpleStockQuoteService (SOAP) as the backend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WSO2 ESB to mediate it, and expose in the form of a REST API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WSO2 IS as an OAuth server to authenticate the REST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yjakq40xtoz" w:id="2"/>
      <w:bookmarkEnd w:id="2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SimpleStockQuoteService | http://{host}:9000/services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https://docs.wso2.com/display/ESB481/Sample+0%3A+Introduction+to+ESB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port offsets the products as follow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ESB port offset</w:t>
        <w:tab/>
        <w:t xml:space="preserve">= 10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IS port offset</w:t>
        <w:tab/>
        <w:t xml:space="preserve">= 20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the ESB and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provided projects with WSO2 Developer Studio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AllyBank-CompositeApplication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AllyBank-ESBProject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AllyBank-RegistryProject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CustomMediatorProject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the Composite Archive (</w:t>
      </w:r>
      <w:r w:rsidDel="00000000" w:rsidR="00000000" w:rsidRPr="00000000">
        <w:rPr>
          <w:i w:val="1"/>
          <w:rtl w:val="0"/>
        </w:rPr>
        <w:t xml:space="preserve">AllyBank-CompositeApplication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from the WSO2 Developer Studio (save as *.car)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 the CAR file, on WSO2 ESB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http://wso2.com/library/articles/2011/09/create-deploy-car-file-standalone-wso2-server-wso2-stratos/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into IS management console and create a service provider and an Inbound OAuth authentication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https://docs.wso2.com/display/IS500/Configuring+Inbound+Authentication+for+a+Service+Provider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client_key and client_secret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token API of IS to generate Access 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curl -v -k -X POST --user client_key:client_secret -H "Content-Type: application/x-www-form-urlencoded;charset=UTF-8" -d 'grant_type=password&amp;username=admin&amp;password=admin' https://localhost:9463/oauth2/token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… or use the provided SOAP-UI/ReadyAPI project providing the client_key:client_secret combination encoded in base64 to provide with basic auth header.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aa84f"/>
          <w:rtl w:val="0"/>
        </w:rPr>
        <w:t xml:space="preserve">Authorization </w:t>
      </w:r>
      <w:r w:rsidDel="00000000" w:rsidR="00000000" w:rsidRPr="00000000">
        <w:rPr>
          <w:b w:val="1"/>
          <w:rtl w:val="0"/>
        </w:rPr>
        <w:t xml:space="preserve">Basic </w:t>
      </w:r>
      <w:r w:rsidDel="00000000" w:rsidR="00000000" w:rsidRPr="00000000">
        <w:rPr>
          <w:color w:val="ff0000"/>
          <w:rtl w:val="0"/>
        </w:rPr>
        <w:t xml:space="preserve">{encodeBase64(</w:t>
      </w:r>
      <w:r w:rsidDel="00000000" w:rsidR="00000000" w:rsidRPr="00000000">
        <w:rPr>
          <w:rtl w:val="0"/>
        </w:rPr>
        <w:t xml:space="preserve">client_key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client_secret</w:t>
      </w:r>
      <w:r w:rsidDel="00000000" w:rsidR="00000000" w:rsidRPr="00000000">
        <w:rPr>
          <w:color w:val="ff0000"/>
          <w:rtl w:val="0"/>
        </w:rPr>
        <w:t xml:space="preserve">)}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Use something like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https://www.base64encode.org/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response needs to be delivered similar to,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"token_type": "bearer",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"expires_in": 3299,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"refresh_token": "8e63353e4f9b4468c95a12d9311093",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"access_token": "</w:t>
      </w:r>
      <w:r w:rsidDel="00000000" w:rsidR="00000000" w:rsidRPr="00000000">
        <w:rPr>
          <w:b w:val="1"/>
          <w:color w:val="cc0000"/>
          <w:rtl w:val="0"/>
        </w:rPr>
        <w:t xml:space="preserve">e7dba3dc394fd2a077ee9854bb135</w:t>
      </w:r>
      <w:r w:rsidDel="00000000" w:rsidR="00000000" w:rsidRPr="00000000">
        <w:rPr>
          <w:b w:val="1"/>
          <w:color w:val="a64d79"/>
          <w:rtl w:val="0"/>
        </w:rPr>
        <w:t xml:space="preserve">"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Invoke the StockAPI using the generated access_token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6aa84f"/>
          <w:rtl w:val="0"/>
        </w:rPr>
        <w:t xml:space="preserve">Authorization </w:t>
      </w:r>
      <w:r w:rsidDel="00000000" w:rsidR="00000000" w:rsidRPr="00000000">
        <w:rPr>
          <w:b w:val="1"/>
          <w:rtl w:val="0"/>
        </w:rPr>
        <w:t xml:space="preserve">Bearer </w:t>
      </w:r>
      <w:r w:rsidDel="00000000" w:rsidR="00000000" w:rsidRPr="00000000">
        <w:rPr>
          <w:color w:val="ff0000"/>
          <w:rtl w:val="0"/>
        </w:rPr>
        <w:t xml:space="preserve">{access_token}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response needs to be delivered similar to,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{"getQuoteResponse": {"return":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"@type": "ax21:GetQuoteResponse",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"change": 4.027511698373331,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"earnings": 13.259567133412038,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"high": 152.02893879212672,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"last": 146.7808331484884,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"lastTradeTimestamp": "Thu May 14 02:33:30 EDT 2015",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"low": 152.13151943771885,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"marketCap": 5.5819323194555E7,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"name": "IBM Company",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"open": 152.40419357640985,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"peRatio": 25.310205964012297,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"percentageChange": 2.401643393800928,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"prevClose": 167.69815655267809,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"symbol": "IBM",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   "volume": 18470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a64d79"/>
          <w:rtl w:val="0"/>
        </w:rPr>
        <w:t xml:space="preserve">}}}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Mediation flow - described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encoding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&lt;api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"http://ws.apache.org/ns/synapse"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"StockAPIX"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"/stockapix"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&lt;resource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uri-template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"/{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8"/>
          <w:shd w:fill="fefbf3" w:val="clear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&lt;inSequence&gt;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hd w:fill="fefbf3" w:val="clear"/>
          <w:rtl w:val="0"/>
        </w:rPr>
        <w:t xml:space="preserve">&lt;!-- OAuth based validation --&gt;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&lt;sequence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"AuthSequence"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hd w:fill="fefbf3" w:val="clear"/>
          <w:rtl w:val="0"/>
        </w:rPr>
        <w:t xml:space="preserve">&lt;!-- logs incoming message --&gt;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&lt;log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"full"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"log message"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hd w:fill="fefbf3" w:val="clear"/>
          <w:rtl w:val="0"/>
        </w:rPr>
        <w:t xml:space="preserve">&lt;!-- extracts 'symbol' value form URL (resource) and preserves it within mediation context (synapse scope) --&gt;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&lt;property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"symbol"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"get-property('uri.var.symbol')"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"preserve &amp;quot;symbol&amp;quot;"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hd w:fill="fefbf3" w:val="clear"/>
          <w:rtl w:val="0"/>
        </w:rPr>
        <w:t xml:space="preserve">&lt;!-- logs the preserved 'symbol' value --&gt;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&lt;log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"custom"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"log symbol"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&lt;property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"Symbol is 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"get-property('symbol')"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&lt;/log&gt;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hd w:fill="fefbf3" w:val="clear"/>
          <w:rtl w:val="0"/>
        </w:rPr>
        <w:t xml:space="preserve">&lt;!-- builds a brand new SOAP message payload (using the extracted symbol value)--&gt;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&lt;sequence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"BuildPayloadSequence"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hd w:fill="fefbf3" w:val="clear"/>
          <w:rtl w:val="0"/>
        </w:rPr>
        <w:t xml:space="preserve">&lt;!-- Injects a new header called 'Action' --&gt;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&lt;header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"Action"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"getQuote"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hd w:fill="fefbf3" w:val="clear"/>
          <w:rtl w:val="0"/>
        </w:rPr>
        <w:t xml:space="preserve">&lt;!-- delivers the new SOAP message to a backend service --&gt;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&lt;send&gt;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&lt;endpoint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"conf:endpoints/StockQuoteEndpoint.xml"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&lt;/send&gt;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&lt;/inSequence&gt;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&lt;outSequence&gt;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hd w:fill="fefbf3" w:val="clear"/>
          <w:rtl w:val="0"/>
        </w:rPr>
        <w:t xml:space="preserve">&lt;!-- reads response from the backend, and sets a new property called 'riskFactor' within mediation context --&gt;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&lt;class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"com.demo.mediators.SampleClassMediator"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hd w:fill="fefbf3" w:val="clear"/>
          <w:rtl w:val="0"/>
        </w:rPr>
        <w:t xml:space="preserve">&lt;!-- logs 'riskFactor' peroperty value --&gt;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&lt;log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"custom"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&lt;property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"RISK"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"get-property('riskFactor')"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&lt;/log&gt;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hd w:fill="fefbf3" w:val="clear"/>
          <w:rtl w:val="0"/>
        </w:rPr>
        <w:t xml:space="preserve">&lt;!-- logs the response --&gt;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&lt;log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"full"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"log message"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hd w:fill="fefbf3" w:val="clear"/>
          <w:rtl w:val="0"/>
        </w:rPr>
        <w:t xml:space="preserve">&lt;!-- converts XML response into JSON --&gt;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&lt;property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"messageType"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"axis2"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8"/>
          <w:shd w:fill="fefbf3" w:val="clear"/>
          <w:rtl w:val="0"/>
        </w:rPr>
        <w:t xml:space="preserve">&lt;!-- sends response to the client --&gt;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&lt;send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&lt;/outSequence&gt;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&lt;faultSequence&gt;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&lt;log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"custom"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"log message"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&lt;property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8"/>
          <w:shd w:fill="fefbf3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8"/>
          <w:shd w:fill="fefbf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800"/>
          <w:sz w:val="18"/>
          <w:shd w:fill="fefbf3" w:val="clear"/>
          <w:rtl w:val="0"/>
        </w:rPr>
        <w:t xml:space="preserve">"ERROR OCCURED"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&lt;/log&gt;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&lt;/faultSequence&gt;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&lt;/resource&gt;</w:t>
      </w:r>
      <w:r w:rsidDel="00000000" w:rsidR="00000000" w:rsidRPr="00000000">
        <w:rPr>
          <w:rFonts w:ascii="Courier New" w:cs="Courier New" w:eastAsia="Courier New" w:hAnsi="Courier New"/>
          <w:sz w:val="18"/>
          <w:shd w:fill="fefbf3" w:val="clear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88"/>
          <w:sz w:val="18"/>
          <w:shd w:fill="fefbf3" w:val="clear"/>
          <w:rtl w:val="0"/>
        </w:rPr>
        <w:t xml:space="preserve">&lt;/api&gt;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&lt;api xmlns="http://ws.apache.org/ns/synapse" name="StockAPIX" context="/stockapix"&gt;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&lt;resource methods="GET" uri-template="/{symbol}"&gt;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&lt;inSequence&gt;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&lt;!-- OAuth based validation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&lt;sequence key="AuthSequence"/&gt;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&lt;!-- logs incoming message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&lt;log level="full" description="log message"/&gt;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&lt;!-- extracts 'symbol' value form URL (resource) and preserves it within mediation context (synapse scope)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&lt;property name="symbol" expression="get-property('uri.var.symbol')" scope="default" type="STRING" description="preserve &amp;quot;symbol&amp;quot;"/&gt;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&lt;!-- logs the preserved 'symbol' value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&lt;log level="custom" description="log symbol"&gt;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&lt;property name="Symbol is " expression="get-property('symbol')"/&gt;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&lt;/log&gt;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&lt;!-- builds a brand new SOAP message payload (using the extracted symbol value)--&gt;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&lt;sequence key="BuildPayloadSequence"/&gt;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&lt;!-- Injects a new header called 'Action'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&lt;header name="Action" scope="default" value="getQuote"/&gt;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&lt;!-- delivers the new SOAP message to a backend service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&lt;send&gt;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&lt;endpoint key="conf:endpoints/StockQuoteEndpoint.xml"/&gt;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&lt;/send&gt;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&lt;/inSequence&gt;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&lt;outSequence&gt;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&lt;!-- reads response from the backend, and sets a new property called 'riskFactor' within mediation context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&lt;class name="com.demo.mediators.SampleClassMediator"/&gt;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&lt;!-- logs 'riskFactor' peroperty value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&lt;log level="custom"&gt;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&lt;property name="RISK" expression="get-property('riskFactor')"/&gt;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&lt;/log&gt;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&lt;!-- logs the response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&lt;log level="full" description="log message"/&gt;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&lt;!-- converts XML response into JSON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&lt;property name="messageType" value="application/json" scope="axis2" type="STRING" description="application/json"/&gt;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&lt;!-- sends response to the client --&gt;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&lt;send/&gt;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&lt;/outSequence&gt;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&lt;faultSequence&gt;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&lt;log level="custom" description="log message"&gt;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&lt;property name="ALERT" value="ERROR OCCURED"/&gt;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&lt;/log&gt;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&lt;/faultSequence&gt;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&lt;/resource&gt;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&lt;/api&gt;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89807" cy="9272588"/>
            <wp:effectExtent b="0" l="0" r="0" t="0"/>
            <wp:docPr descr="RestAPI.png" id="1" name="image01.png"/>
            <a:graphic>
              <a:graphicData uri="http://schemas.openxmlformats.org/drawingml/2006/picture">
                <pic:pic>
                  <pic:nvPicPr>
                    <pic:cNvPr descr="RestAPI.png"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807" cy="927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vo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vo" w:cs="Arvo" w:eastAsia="Arvo" w:hAnsi="Arvo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Arvo" w:cs="Arvo" w:eastAsia="Arvo" w:hAnsi="Arvo"/>
      <w:sz w:val="32"/>
    </w:rPr>
  </w:style>
  <w:style w:type="paragraph" w:styleId="Heading2">
    <w:name w:val="heading 2"/>
    <w:basedOn w:val="Normal"/>
    <w:next w:val="Normal"/>
    <w:pPr>
      <w:contextualSpacing w:val="1"/>
    </w:pPr>
    <w:rPr>
      <w:rFonts w:ascii="Arvo" w:cs="Arvo" w:eastAsia="Arvo" w:hAnsi="Arvo"/>
      <w:color w:val="434343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1.png"/><Relationship Id="rId6" Type="http://schemas.openxmlformats.org/officeDocument/2006/relationships/hyperlink" Target="http://wso2.com/library/articles/2011/09/create-deploy-car-file-standalone-wso2-server-wso2-stratos/" TargetMode="External"/><Relationship Id="rId5" Type="http://schemas.openxmlformats.org/officeDocument/2006/relationships/hyperlink" Target="https://docs.wso2.com/display/ESB481/Sample+0%3A+Introduction+to+ESB" TargetMode="External"/><Relationship Id="rId8" Type="http://schemas.openxmlformats.org/officeDocument/2006/relationships/hyperlink" Target="https://www.base64encode.org/" TargetMode="External"/><Relationship Id="rId7" Type="http://schemas.openxmlformats.org/officeDocument/2006/relationships/hyperlink" Target="https://docs.wso2.com/display/IS500/Configuring+Inbound+Authentication+for+a+Service+Provider" TargetMode="External"/></Relationships>
</file>