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Smart Contract Development with Solidity - Project Requirements</w:t>
      </w:r>
    </w:p>
    <w:p>
      <w:pPr>
        <w:pStyle w:val="Normal"/>
        <w:rPr/>
      </w:pPr>
      <w:r>
        <w:rPr/>
        <w:t>Your project is what you will be judged and scored based on. You are free to develop it at any time using any learning resources, but do not copy each other’s work. At the end of the course, you will be asked to present and defend your project. You should explain what you built and what thoughts made you take certain choices about the architecture and similar. You can also explain what work you did in the chronological order.</w:t>
      </w:r>
    </w:p>
    <w:p>
      <w:pPr>
        <w:pStyle w:val="Normal"/>
        <w:ind w:firstLine="360"/>
        <w:rPr/>
      </w:pPr>
      <w:r>
        <w:rPr/>
        <w:t>Projects will be scored based on project requirements. All main (‘mandatory’) requirements sum up to 100% score. There are optional tasks that will give you extra if you choose to make a greater impression.</w:t>
      </w:r>
    </w:p>
    <w:p>
      <w:pPr>
        <w:pStyle w:val="Normal"/>
        <w:ind w:firstLine="360"/>
        <w:rPr/>
      </w:pPr>
      <w:r>
        <w:rPr>
          <w:b/>
        </w:rPr>
        <w:t>Each requirement has a lecture number. This means that you should be able to do this task after that lecture</w:t>
      </w:r>
      <w:r>
        <w:rPr/>
        <w:t>. The numbers are according to the following list:</w:t>
      </w:r>
    </w:p>
    <w:p>
      <w:pPr>
        <w:pStyle w:val="Normal"/>
        <w:jc w:val="center"/>
        <w:rPr/>
      </w:pPr>
      <w:r>
        <w:rPr/>
        <w:drawing>
          <wp:inline distT="0" distB="0" distL="0" distR="0">
            <wp:extent cx="5943600" cy="1816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43600" cy="1816100"/>
                    </a:xfrm>
                    <a:prstGeom prst="rect">
                      <a:avLst/>
                    </a:prstGeom>
                  </pic:spPr>
                </pic:pic>
              </a:graphicData>
            </a:graphic>
          </wp:inline>
        </w:drawing>
      </w:r>
    </w:p>
    <w:p>
      <w:pPr>
        <w:pStyle w:val="Normal"/>
        <w:ind w:firstLine="450"/>
        <w:rPr/>
      </w:pPr>
      <w:r>
        <w:rPr/>
      </w:r>
    </w:p>
    <w:p>
      <w:pPr>
        <w:pStyle w:val="Normal"/>
        <w:ind w:firstLine="450"/>
        <w:rPr/>
      </w:pPr>
      <w:r>
        <w:rPr/>
        <w:t xml:space="preserve">There are </w:t>
      </w:r>
      <w:r>
        <w:rPr>
          <w:b/>
        </w:rPr>
        <w:t>two</w:t>
      </w:r>
      <w:r>
        <w:rPr/>
        <w:t xml:space="preserve"> proposed project </w:t>
      </w:r>
      <w:r>
        <w:rPr>
          <w:b/>
        </w:rPr>
        <w:t>topics</w:t>
      </w:r>
      <w:r>
        <w:rPr/>
        <w:t xml:space="preserve">, from which you can </w:t>
      </w:r>
      <w:r>
        <w:rPr>
          <w:b/>
        </w:rPr>
        <w:t>choose</w:t>
      </w:r>
      <w:r>
        <w:rPr/>
        <w:t xml:space="preserve"> </w:t>
      </w:r>
      <w:r>
        <w:rPr>
          <w:b/>
        </w:rPr>
        <w:t>one</w:t>
      </w:r>
      <w:r>
        <w:rPr/>
        <w:t xml:space="preserve">: </w:t>
      </w:r>
    </w:p>
    <w:p>
      <w:pPr>
        <w:pStyle w:val="ListParagraph"/>
        <w:numPr>
          <w:ilvl w:val="0"/>
          <w:numId w:val="3"/>
        </w:numPr>
        <w:rPr>
          <w:b/>
          <w:b/>
        </w:rPr>
      </w:pPr>
      <w:r>
        <w:rPr>
          <w:b/>
        </w:rPr>
        <w:t xml:space="preserve">Decentralized Domain Name System (DDNS) </w:t>
      </w:r>
    </w:p>
    <w:p>
      <w:pPr>
        <w:pStyle w:val="ListParagraph"/>
        <w:numPr>
          <w:ilvl w:val="0"/>
          <w:numId w:val="3"/>
        </w:numPr>
        <w:rPr>
          <w:b/>
          <w:b/>
        </w:rPr>
      </w:pPr>
      <w:r>
        <w:rPr>
          <w:b/>
        </w:rPr>
        <w:t>Marketplace contract</w:t>
      </w:r>
    </w:p>
    <w:p>
      <w:pPr>
        <w:pStyle w:val="Normal"/>
        <w:rPr/>
      </w:pPr>
      <w:r>
        <w:rPr/>
      </w:r>
    </w:p>
    <w:p>
      <w:pPr>
        <w:pStyle w:val="Heading2"/>
        <w:numPr>
          <w:ilvl w:val="0"/>
          <w:numId w:val="2"/>
        </w:numPr>
        <w:rPr/>
      </w:pPr>
      <w:r>
        <w:rPr/>
        <w:t>DDNS</w:t>
      </w:r>
    </w:p>
    <w:p>
      <w:pPr>
        <w:pStyle w:val="Heading3"/>
        <w:rPr/>
      </w:pPr>
      <w:r>
        <w:rPr/>
        <w:t>Mandatory Tasks</w:t>
      </w:r>
    </w:p>
    <w:p>
      <w:pPr>
        <w:pStyle w:val="Normal"/>
        <w:numPr>
          <w:ilvl w:val="0"/>
          <w:numId w:val="4"/>
        </w:numPr>
        <w:spacing w:before="0" w:after="0"/>
        <w:contextualSpacing/>
        <w:rPr/>
      </w:pPr>
      <w:r>
        <w:rPr>
          <w:b/>
        </w:rPr>
        <w:t>(20%) (lecture 6)</w:t>
      </w:r>
      <w:r>
        <w:rPr/>
        <w:t xml:space="preserve"> Public method to register a domain, giving the domain name and an ip address it should point to. A registered domain cannot be bought and is owned by the caller of the method. </w:t>
      </w:r>
      <w:r>
        <w:rPr>
          <w:b/>
        </w:rPr>
        <w:t>The domain registration should cost 1 ETH and the domain should be registered for 1 year</w:t>
      </w:r>
      <w:r>
        <w:rPr/>
        <w:t xml:space="preserve">. After 1 year, anyone is allowed to buy the domain again. The domain registration can be extended by 1 year if the domain owner calls the register method and pays 1 ETH. The domain can be any string with length </w:t>
      </w:r>
      <w:r>
        <w:rPr>
          <w:b/>
        </w:rPr>
        <w:t>more than 5 symbols</w:t>
      </w:r>
      <w:r>
        <w:rPr/>
        <w:t>.</w:t>
      </w:r>
    </w:p>
    <w:p>
      <w:pPr>
        <w:pStyle w:val="Normal"/>
        <w:numPr>
          <w:ilvl w:val="0"/>
          <w:numId w:val="4"/>
        </w:numPr>
        <w:spacing w:before="0" w:after="0"/>
        <w:contextualSpacing/>
        <w:rPr/>
      </w:pPr>
      <w:r>
        <w:rPr>
          <w:b/>
        </w:rPr>
        <w:t>(10%) (lecture 6)</w:t>
      </w:r>
      <w:r>
        <w:rPr/>
        <w:t xml:space="preserve"> Public method to edit a domain. Editing a domain is changing the ip address it points to. The operation is free. Only the owner of the domain can edit the domain.</w:t>
      </w:r>
    </w:p>
    <w:p>
      <w:pPr>
        <w:pStyle w:val="Normal"/>
        <w:numPr>
          <w:ilvl w:val="0"/>
          <w:numId w:val="4"/>
        </w:numPr>
        <w:spacing w:before="0" w:after="0"/>
        <w:contextualSpacing/>
        <w:rPr/>
      </w:pPr>
      <w:r>
        <w:rPr>
          <w:b/>
        </w:rPr>
        <w:t xml:space="preserve">(10%) (lecture 6) </w:t>
      </w:r>
      <w:r>
        <w:rPr/>
        <w:t xml:space="preserve">Public method to transfer the domain ownership to another user. The operation is free. </w:t>
      </w:r>
      <w:r>
        <w:rPr/>
        <w:t>Only the domain owner can transfer his domains.</w:t>
      </w:r>
    </w:p>
    <w:p>
      <w:pPr>
        <w:pStyle w:val="Normal"/>
        <w:numPr>
          <w:ilvl w:val="0"/>
          <w:numId w:val="4"/>
        </w:numPr>
        <w:spacing w:before="0" w:after="0"/>
        <w:contextualSpacing/>
        <w:rPr/>
      </w:pPr>
      <w:r>
        <w:rPr>
          <w:b/>
        </w:rPr>
        <w:t>(10%) (lecture 6)</w:t>
      </w:r>
      <w:r>
        <w:rPr/>
        <w:t xml:space="preserve"> Public method to receive an IP based on a given domain.</w:t>
      </w:r>
    </w:p>
    <w:p>
      <w:pPr>
        <w:pStyle w:val="Normal"/>
        <w:numPr>
          <w:ilvl w:val="0"/>
          <w:numId w:val="4"/>
        </w:numPr>
        <w:spacing w:before="0" w:after="0"/>
        <w:contextualSpacing/>
        <w:rPr/>
      </w:pPr>
      <w:r>
        <w:rPr>
          <w:b/>
        </w:rPr>
        <w:t>(10%) (lecture 6)</w:t>
      </w:r>
      <w:r>
        <w:rPr/>
        <w:t xml:space="preserve"> Public method that returns a list of all receipts by a certain account. A receipt is a domain purchase/extension and contains the price, timestamp of purchase and expiration date of the domain.</w:t>
      </w:r>
    </w:p>
    <w:p>
      <w:pPr>
        <w:pStyle w:val="Heading2"/>
        <w:numPr>
          <w:ilvl w:val="0"/>
          <w:numId w:val="2"/>
        </w:numPr>
        <w:rPr/>
      </w:pPr>
      <w:r>
        <w:rPr/>
        <w:t>Marketplace Contract</w:t>
      </w:r>
    </w:p>
    <w:p>
      <w:pPr>
        <w:pStyle w:val="Heading3"/>
        <w:rPr/>
      </w:pPr>
      <w:r>
        <w:rPr/>
        <w:t>Mandatory Tasks</w:t>
      </w:r>
    </w:p>
    <w:p>
      <w:pPr>
        <w:pStyle w:val="Normal"/>
        <w:numPr>
          <w:ilvl w:val="0"/>
          <w:numId w:val="5"/>
        </w:numPr>
        <w:spacing w:before="0" w:after="0"/>
        <w:contextualSpacing/>
        <w:rPr/>
      </w:pPr>
      <w:r>
        <w:rPr>
          <w:b/>
        </w:rPr>
        <w:t xml:space="preserve">(20%) (lecture 6) </w:t>
      </w:r>
      <w:r>
        <w:rPr/>
        <w:t>Public method to buy a store item by specifying its ID (a string) and quantity. The method should execute successfully if the marketplace has enough of the item in stock and the sent funds are sufficient. Overpay is considered a tip.</w:t>
      </w:r>
    </w:p>
    <w:p>
      <w:pPr>
        <w:pStyle w:val="Normal"/>
        <w:numPr>
          <w:ilvl w:val="0"/>
          <w:numId w:val="5"/>
        </w:numPr>
        <w:spacing w:before="0" w:after="0"/>
        <w:contextualSpacing/>
        <w:rPr/>
      </w:pPr>
      <w:r>
        <w:rPr>
          <w:b/>
        </w:rPr>
        <w:t xml:space="preserve">(10%) (lecture 6) </w:t>
      </w:r>
      <w:r>
        <w:rPr/>
        <w:t xml:space="preserve">Public method to update the stock of an item by taking its ID and the new availability (items in stock). </w:t>
      </w:r>
      <w:r>
        <w:rPr>
          <w:b/>
        </w:rPr>
        <w:t>This method should only be called from the contract owner</w:t>
      </w:r>
      <w:r>
        <w:rPr/>
        <w:t>!</w:t>
      </w:r>
    </w:p>
    <w:p>
      <w:pPr>
        <w:pStyle w:val="Normal"/>
        <w:numPr>
          <w:ilvl w:val="0"/>
          <w:numId w:val="5"/>
        </w:numPr>
        <w:spacing w:before="0" w:after="0"/>
        <w:contextualSpacing/>
        <w:rPr/>
      </w:pPr>
      <w:r>
        <w:rPr>
          <w:b/>
        </w:rPr>
        <w:t xml:space="preserve">(10%) (lecture 6) </w:t>
      </w:r>
      <w:r>
        <w:rPr/>
        <w:t xml:space="preserve">Public method to add a new product to the Marketplace by specifying its name (string), price and initial quantity. </w:t>
      </w:r>
      <w:r>
        <w:rPr/>
        <w:t>Only called by the contract owner.</w:t>
      </w:r>
    </w:p>
    <w:p>
      <w:pPr>
        <w:pStyle w:val="Normal"/>
        <w:numPr>
          <w:ilvl w:val="0"/>
          <w:numId w:val="5"/>
        </w:numPr>
        <w:spacing w:before="0" w:after="0"/>
        <w:contextualSpacing/>
        <w:rPr/>
      </w:pPr>
      <w:r>
        <w:rPr>
          <w:b/>
        </w:rPr>
        <w:t xml:space="preserve">(10%) (lecture 6) </w:t>
      </w:r>
      <w:r>
        <w:rPr/>
        <w:t>Public method to get the price, name and stock about a product by its ID.</w:t>
      </w:r>
    </w:p>
    <w:p>
      <w:pPr>
        <w:pStyle w:val="Normal"/>
        <w:numPr>
          <w:ilvl w:val="0"/>
          <w:numId w:val="5"/>
        </w:numPr>
        <w:spacing w:before="0" w:after="0"/>
        <w:contextualSpacing/>
        <w:rPr/>
      </w:pPr>
      <w:r>
        <w:rPr>
          <w:b/>
        </w:rPr>
        <w:t xml:space="preserve">(10%) (lecture 6) </w:t>
      </w:r>
      <w:r>
        <w:rPr/>
        <w:t>Public method to that returns an array of all product IDs.</w:t>
      </w:r>
    </w:p>
    <w:p>
      <w:pPr>
        <w:pStyle w:val="Normal"/>
        <w:spacing w:before="0" w:after="0"/>
        <w:contextualSpacing/>
        <w:rPr/>
      </w:pPr>
      <w:r>
        <w:rPr/>
      </w:r>
    </w:p>
    <w:p>
      <w:pPr>
        <w:pStyle w:val="Heading2"/>
        <w:numPr>
          <w:ilvl w:val="0"/>
          <w:numId w:val="2"/>
        </w:numPr>
        <w:rPr/>
      </w:pPr>
      <w:r>
        <w:rPr/>
        <w:t>Common Tasks</w:t>
      </w:r>
    </w:p>
    <w:p>
      <w:pPr>
        <w:pStyle w:val="Heading4"/>
        <w:rPr/>
      </w:pPr>
      <w:r>
        <w:rPr/>
        <w:t>Mandatory Tasks (for both topics):</w:t>
      </w:r>
    </w:p>
    <w:p>
      <w:pPr>
        <w:pStyle w:val="Normal"/>
        <w:numPr>
          <w:ilvl w:val="0"/>
          <w:numId w:val="6"/>
        </w:numPr>
        <w:spacing w:before="0" w:after="0"/>
        <w:contextualSpacing/>
        <w:rPr/>
      </w:pPr>
      <w:r>
        <w:rPr>
          <w:b/>
        </w:rPr>
        <w:t>(40%) (lecture 10)</w:t>
      </w:r>
      <w:r>
        <w:rPr/>
        <w:t xml:space="preserve"> </w:t>
      </w:r>
      <w:r>
        <w:rPr>
          <w:b/>
        </w:rPr>
        <w:t>Unit tests for all the methods in your contract</w:t>
      </w:r>
      <w:r>
        <w:rPr/>
        <w:t xml:space="preserve"> (including all aforementioned). The tests should handle </w:t>
      </w:r>
      <w:r>
        <w:rPr>
          <w:b/>
        </w:rPr>
        <w:t>all constraints around the contract</w:t>
      </w:r>
      <w:r>
        <w:rPr/>
        <w:t>. Example with DDNS: A test can be one that tries to register an already registered domain. The test is passed if the operation fails (expected behavior).</w:t>
      </w:r>
    </w:p>
    <w:p>
      <w:pPr>
        <w:pStyle w:val="Heading4"/>
        <w:rPr/>
      </w:pPr>
      <w:r>
        <w:rPr/>
        <w:t>Optional Tasks (for both topics):</w:t>
      </w:r>
    </w:p>
    <w:p>
      <w:pPr>
        <w:pStyle w:val="Normal"/>
        <w:numPr>
          <w:ilvl w:val="0"/>
          <w:numId w:val="7"/>
        </w:numPr>
        <w:spacing w:before="0" w:after="0"/>
        <w:contextualSpacing/>
        <w:rPr/>
      </w:pPr>
      <w:r>
        <w:rPr>
          <w:b/>
        </w:rPr>
        <w:t xml:space="preserve">(5%) (lecture 5) </w:t>
      </w:r>
      <w:r>
        <w:rPr/>
        <w:t xml:space="preserve">Use </w:t>
      </w:r>
      <w:r>
        <w:rPr>
          <w:b/>
        </w:rPr>
        <w:t>contract events</w:t>
      </w:r>
      <w:r>
        <w:rPr/>
        <w:t xml:space="preserve"> to signify that an activity has taken place in your contract. Events can be for domain registration / transfer (DDNS) or item purchase / stock update (Marketplace), for example.</w:t>
      </w:r>
    </w:p>
    <w:p>
      <w:pPr>
        <w:pStyle w:val="Normal"/>
        <w:numPr>
          <w:ilvl w:val="0"/>
          <w:numId w:val="7"/>
        </w:numPr>
        <w:spacing w:before="0" w:after="0"/>
        <w:contextualSpacing/>
        <w:rPr/>
      </w:pPr>
      <w:r>
        <w:rPr>
          <w:b/>
        </w:rPr>
        <w:t xml:space="preserve">(20%) (lecture 8) </w:t>
      </w:r>
      <w:r>
        <w:rPr/>
        <w:t xml:space="preserve">Create a basic website with MetaMask that connects to a contract (published in a test net or local blockchain). The application should allow </w:t>
      </w:r>
      <w:r>
        <w:rPr>
          <w:b/>
        </w:rPr>
        <w:t xml:space="preserve">at least one </w:t>
      </w:r>
      <w:r>
        <w:rPr/>
        <w:t>operation with the contract (Domain registration or Store purchase are examples).</w:t>
      </w:r>
    </w:p>
    <w:p>
      <w:pPr>
        <w:pStyle w:val="Normal"/>
        <w:numPr>
          <w:ilvl w:val="0"/>
          <w:numId w:val="7"/>
        </w:numPr>
        <w:spacing w:before="0" w:after="0"/>
        <w:contextualSpacing/>
        <w:rPr/>
      </w:pPr>
      <w:r>
        <w:rPr>
          <w:b/>
        </w:rPr>
        <w:t>(5%) (lecture 6)</w:t>
      </w:r>
      <w:r>
        <w:rPr/>
        <w:t xml:space="preserve"> Dynamic pricing. For DDNS, the base price can increase if a short domain name is bought. For Marketplace, price can increase as the stock of an item lowers.</w:t>
      </w:r>
    </w:p>
    <w:p>
      <w:pPr>
        <w:pStyle w:val="Normal"/>
        <w:numPr>
          <w:ilvl w:val="0"/>
          <w:numId w:val="7"/>
        </w:numPr>
        <w:spacing w:before="0" w:after="0"/>
        <w:contextualSpacing/>
        <w:rPr/>
      </w:pPr>
      <w:r>
        <w:rPr>
          <w:b/>
        </w:rPr>
        <w:t xml:space="preserve">(5%) (lecture 6) </w:t>
      </w:r>
      <w:r>
        <w:rPr/>
        <w:t xml:space="preserve">Public method to withdraw the funds from the contract. </w:t>
      </w:r>
      <w:r>
        <w:rPr>
          <w:b/>
        </w:rPr>
        <w:t xml:space="preserve">This should be called only from the contract owner </w:t>
      </w:r>
      <w:r>
        <w:rPr/>
        <w:t>(the address which initially created the contract).</w:t>
      </w:r>
    </w:p>
    <w:p>
      <w:pPr>
        <w:pStyle w:val="Normal"/>
        <w:spacing w:before="0" w:after="0"/>
        <w:contextualSpacing/>
        <w:rPr/>
      </w:pPr>
      <w:r>
        <w:rPr/>
      </w:r>
    </w:p>
    <w:p>
      <w:pPr>
        <w:pStyle w:val="Heading2"/>
        <w:numPr>
          <w:ilvl w:val="0"/>
          <w:numId w:val="2"/>
        </w:numPr>
        <w:rPr/>
      </w:pPr>
      <w:r>
        <w:rPr/>
        <w:t>Submission</w:t>
      </w:r>
    </w:p>
    <w:p>
      <w:pPr>
        <w:pStyle w:val="Normal"/>
        <w:rPr>
          <w:b/>
          <w:b/>
        </w:rPr>
      </w:pPr>
      <w:r>
        <w:rPr/>
        <w:t xml:space="preserve">Submission deadline: </w:t>
      </w:r>
      <w:r>
        <w:rPr>
          <w:b/>
        </w:rPr>
        <w:t>29.03.2018 23:59</w:t>
      </w:r>
    </w:p>
    <w:p>
      <w:pPr>
        <w:pStyle w:val="Normal"/>
        <w:rPr/>
      </w:pPr>
      <w:r>
        <w:rPr/>
        <w:t xml:space="preserve">Projects should be submitted as archive files on the course’ page under the “Final Project - Live Defense” heading. A button for uploading files will become visible two weeks before </w:t>
      </w:r>
      <w:bookmarkStart w:id="0" w:name="_GoBack"/>
      <w:bookmarkEnd w:id="0"/>
      <w:r>
        <w:rPr/>
        <w:t>the submission deadline.</w:t>
      </w:r>
    </w:p>
    <w:p>
      <w:pPr>
        <w:pStyle w:val="Normal"/>
        <w:spacing w:before="0" w:after="0"/>
        <w:contextualSpacing/>
        <w:rPr/>
      </w:pPr>
      <w:r>
        <w:rPr/>
      </w:r>
    </w:p>
    <w:p>
      <w:pPr>
        <w:pStyle w:val="Heading2"/>
        <w:numPr>
          <w:ilvl w:val="0"/>
          <w:numId w:val="0"/>
        </w:numPr>
        <w:rPr/>
      </w:pPr>
      <w:hyperlink r:id="rId3">
        <w:r>
          <w:rPr>
            <w:rStyle w:val="InternetLink"/>
          </w:rPr>
          <w:t>Empty contract templates with the correct function interface are provided here.</w:t>
        </w:r>
      </w:hyperlink>
    </w:p>
    <w:p>
      <w:pPr>
        <w:pStyle w:val="Normal"/>
        <w:numPr>
          <w:ilvl w:val="0"/>
          <w:numId w:val="0"/>
        </w:numPr>
        <w:rPr/>
      </w:pPr>
      <w:r>
        <w:rPr/>
      </w:r>
    </w:p>
    <w:p>
      <w:pPr>
        <w:pStyle w:val="Normal"/>
        <w:numPr>
          <w:ilvl w:val="0"/>
          <w:numId w:val="0"/>
        </w:numPr>
        <w:rPr/>
      </w:pPr>
      <w:r>
        <w:rPr/>
        <w:t xml:space="preserve">I recommend to </w:t>
      </w:r>
      <w:r>
        <w:rPr>
          <w:b/>
          <w:bCs/>
        </w:rPr>
        <w:t>keep the same function names, parameters and return value types</w:t>
      </w:r>
      <w:r>
        <w:rPr/>
        <w:t xml:space="preserve">. </w:t>
      </w:r>
      <w:r>
        <w:rPr>
          <w:b/>
          <w:bCs/>
        </w:rPr>
        <w:t>Anything else about the contract can be changed</w:t>
      </w:r>
      <w:r>
        <w:rPr/>
        <w:t>, including:</w:t>
      </w:r>
    </w:p>
    <w:p>
      <w:pPr>
        <w:pStyle w:val="Normal"/>
        <w:numPr>
          <w:ilvl w:val="0"/>
          <w:numId w:val="8"/>
        </w:numPr>
        <w:rPr/>
      </w:pPr>
      <w:r>
        <w:rPr/>
        <w:t>Function modifiers</w:t>
      </w:r>
    </w:p>
    <w:p>
      <w:pPr>
        <w:pStyle w:val="Normal"/>
        <w:numPr>
          <w:ilvl w:val="0"/>
          <w:numId w:val="8"/>
        </w:numPr>
        <w:rPr/>
      </w:pPr>
      <w:r>
        <w:rPr/>
        <w:t>Adding other internal/external functions</w:t>
      </w:r>
    </w:p>
    <w:p>
      <w:pPr>
        <w:pStyle w:val="Normal"/>
        <w:rPr/>
      </w:pPr>
      <w:r>
        <w:rPr>
          <w:b/>
          <w:bCs/>
        </w:rPr>
        <w:t>If you have a better solution</w:t>
      </w:r>
      <w:r>
        <w:rPr/>
        <w:t xml:space="preserve"> in mind that requires a different interface or are unable to find a solution fitting this interface, </w:t>
      </w:r>
      <w:r>
        <w:rPr>
          <w:b/>
          <w:bCs/>
        </w:rPr>
        <w:t>feel free to change anything you need</w:t>
      </w:r>
      <w:r>
        <w:rPr/>
        <w:t>, including function names and arguments. The common interface is only so that I can run unit tests on your code, testing the functionality and edge cases.</w:t>
      </w:r>
    </w:p>
    <w:p>
      <w:pPr>
        <w:pStyle w:val="Normal"/>
        <w:rPr/>
      </w:pPr>
      <w:r>
        <w:rPr/>
      </w:r>
    </w:p>
    <w:p>
      <w:pPr>
        <w:pStyle w:val="Normal"/>
        <w:widowControl/>
        <w:bidi w:val="0"/>
        <w:spacing w:lineRule="auto" w:line="276" w:before="80" w:after="120"/>
        <w:jc w:val="left"/>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7" wp14:anchorId="6D6A420E">
              <wp:simplePos x="0" y="0"/>
              <wp:positionH relativeFrom="column">
                <wp:posOffset>0</wp:posOffset>
              </wp:positionH>
              <wp:positionV relativeFrom="paragraph">
                <wp:posOffset>66675</wp:posOffset>
              </wp:positionV>
              <wp:extent cx="6616065" cy="2540"/>
              <wp:effectExtent l="0" t="0" r="0" b="0"/>
              <wp:wrapNone/>
              <wp:docPr id="2" name="Straight Connector 19"/>
              <a:graphic xmlns:a="http://schemas.openxmlformats.org/drawingml/2006/main">
                <a:graphicData uri="http://schemas.microsoft.com/office/word/2010/wordprocessingShape">
                  <wps:wsp>
                    <wps:cNvSpPr/>
                    <wps:spPr>
                      <a:xfrm>
                        <a:off x="0" y="0"/>
                        <a:ext cx="6615360" cy="180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5pt" to="520.85pt,5.35pt" ID="Straight Connector 19" stroked="t" style="position:absolute" wp14:anchorId="6D6A420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0" wp14:anchorId="2074F399">
              <wp:simplePos x="0" y="0"/>
              <wp:positionH relativeFrom="column">
                <wp:posOffset>1579880</wp:posOffset>
              </wp:positionH>
              <wp:positionV relativeFrom="paragraph">
                <wp:posOffset>85090</wp:posOffset>
              </wp:positionV>
              <wp:extent cx="5034915" cy="515620"/>
              <wp:effectExtent l="0" t="0" r="0" b="635"/>
              <wp:wrapNone/>
              <wp:docPr id="3" name="Text Box 16"/>
              <a:graphic xmlns:a="http://schemas.openxmlformats.org/drawingml/2006/main">
                <a:graphicData uri="http://schemas.microsoft.com/office/word/2010/wordprocessingShape">
                  <wps:wsp>
                    <wps:cNvSpPr/>
                    <wps:spPr>
                      <a:xfrm>
                        <a:off x="0" y="0"/>
                        <a:ext cx="5034240" cy="51516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00000A"/>
                              <w:sz w:val="19"/>
                              <w:szCs w:val="19"/>
                            </w:rPr>
                            <w:t xml:space="preserve">© </w:t>
                          </w:r>
                          <w:hyperlink r:id="rId1">
                            <w:r>
                              <w:rPr>
                                <w:rStyle w:val="InternetLink"/>
                                <w:color w:val="00000A"/>
                                <w:sz w:val="19"/>
                                <w:szCs w:val="19"/>
                              </w:rPr>
                              <w:t>Software University Foundation</w:t>
                            </w:r>
                          </w:hyperlink>
                          <w:r>
                            <w:rPr>
                              <w:color w:val="00000A"/>
                              <w:sz w:val="19"/>
                              <w:szCs w:val="19"/>
                            </w:rPr>
                            <w:t xml:space="preserve">. This work is licensed under the </w:t>
                          </w:r>
                          <w:hyperlink r:id="rId2">
                            <w:r>
                              <w:rPr>
                                <w:rStyle w:val="InternetLink"/>
                                <w:color w:val="00000A"/>
                                <w:sz w:val="19"/>
                                <w:szCs w:val="19"/>
                              </w:rPr>
                              <w:t>CC-BY-NC-SA</w:t>
                            </w:r>
                          </w:hyperlink>
                          <w:r>
                            <w:rPr>
                              <w:color w:val="00000A"/>
                              <w:sz w:val="19"/>
                              <w:szCs w:val="19"/>
                            </w:rPr>
                            <w:t xml:space="preserve"> license.</w:t>
                          </w:r>
                        </w:p>
                        <w:p>
                          <w:pPr>
                            <w:pStyle w:val="FrameContents"/>
                            <w:spacing w:lineRule="auto" w:line="240" w:before="80" w:after="0"/>
                            <w:ind w:left="567" w:firstLine="340"/>
                            <w:rPr>
                              <w:sz w:val="19"/>
                              <w:szCs w:val="19"/>
                            </w:rPr>
                          </w:pPr>
                          <w:r>
                            <w:rPr/>
                            <w:drawing>
                              <wp:inline distT="0" distB="0" distL="0" distR="0">
                                <wp:extent cx="201930" cy="201930"/>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00000A"/>
                              <w:sz w:val="19"/>
                              <w:szCs w:val="19"/>
                            </w:rPr>
                            <w:t xml:space="preserve"> </w:t>
                          </w:r>
                          <w:r>
                            <w:rPr>
                              <w:color w:val="00000A"/>
                              <w:sz w:val="19"/>
                              <w:szCs w:val="19"/>
                              <w:lang w:val="bg-BG"/>
                            </w:rPr>
                            <w:t xml:space="preserve">  </w:t>
                          </w:r>
                          <w:r>
                            <w:rPr>
                              <w:color w:val="00000A"/>
                              <w:sz w:val="19"/>
                              <w:szCs w:val="19"/>
                              <w:lang w:val="bg-BG"/>
                            </w:rPr>
                            <w:drawing>
                              <wp:inline distT="0" distB="0" distL="0" distR="0">
                                <wp:extent cx="201930" cy="201930"/>
                                <wp:effectExtent l="0" t="0" r="0" b="0"/>
                                <wp:docPr id="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00000A"/>
                              <w:sz w:val="19"/>
                              <w:szCs w:val="19"/>
                              <w:lang w:val="bg-BG"/>
                            </w:rPr>
                            <w:t xml:space="preserve">   </w:t>
                          </w:r>
                          <w:r>
                            <w:rPr>
                              <w:color w:val="00000A"/>
                              <w:sz w:val="19"/>
                              <w:szCs w:val="19"/>
                              <w:lang w:val="bg-BG"/>
                            </w:rPr>
                            <w:drawing>
                              <wp:inline distT="0" distB="0" distL="0" distR="0">
                                <wp:extent cx="201930" cy="201930"/>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00000A"/>
                              <w:sz w:val="19"/>
                              <w:szCs w:val="19"/>
                            </w:rPr>
                            <w:t xml:space="preserve">   </w:t>
                          </w:r>
                          <w:r>
                            <w:rPr>
                              <w:color w:val="00000A"/>
                              <w:sz w:val="19"/>
                              <w:szCs w:val="19"/>
                            </w:rPr>
                            <w:drawing>
                              <wp:inline distT="0" distB="0" distL="0" distR="0">
                                <wp:extent cx="201930" cy="201930"/>
                                <wp:effectExtent l="0" t="0" r="0" b="0"/>
                                <wp:docPr id="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00000A"/>
                              <w:sz w:val="19"/>
                              <w:szCs w:val="19"/>
                            </w:rPr>
                            <w:t xml:space="preserve">   </w:t>
                          </w:r>
                          <w:r>
                            <w:rPr>
                              <w:color w:val="00000A"/>
                              <w:sz w:val="19"/>
                              <w:szCs w:val="19"/>
                            </w:rPr>
                            <w:drawing>
                              <wp:inline distT="0" distB="0" distL="0" distR="0">
                                <wp:extent cx="201930" cy="201930"/>
                                <wp:effectExtent l="0" t="0" r="0" b="0"/>
                                <wp:docPr id="9"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00000A"/>
                              <w:sz w:val="19"/>
                              <w:szCs w:val="19"/>
                            </w:rPr>
                            <w:t xml:space="preserve">   </w:t>
                          </w:r>
                          <w:r>
                            <w:rPr>
                              <w:color w:val="00000A"/>
                              <w:sz w:val="19"/>
                              <w:szCs w:val="19"/>
                            </w:rPr>
                            <w:drawing>
                              <wp:inline distT="0" distB="0" distL="0" distR="0">
                                <wp:extent cx="201930" cy="20193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00000A"/>
                              <w:sz w:val="19"/>
                              <w:szCs w:val="19"/>
                            </w:rPr>
                            <w:t xml:space="preserve">   </w:t>
                          </w:r>
                          <w:r>
                            <w:rPr>
                              <w:color w:val="00000A"/>
                              <w:sz w:val="19"/>
                              <w:szCs w:val="19"/>
                            </w:rPr>
                            <w:drawing>
                              <wp:inline distT="0" distB="0" distL="0" distR="0">
                                <wp:extent cx="198120" cy="198120"/>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00000A"/>
                              <w:sz w:val="19"/>
                              <w:szCs w:val="19"/>
                            </w:rPr>
                            <w:t xml:space="preserve">   </w:t>
                          </w:r>
                          <w:r>
                            <w:rPr>
                              <w:color w:val="00000A"/>
                              <w:sz w:val="19"/>
                              <w:szCs w:val="19"/>
                            </w:rPr>
                            <w:drawing>
                              <wp:inline distT="0" distB="0" distL="0" distR="0">
                                <wp:extent cx="201930" cy="201930"/>
                                <wp:effectExtent l="0" t="0" r="0" b="0"/>
                                <wp:docPr id="1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00000A"/>
                              <w:sz w:val="19"/>
                              <w:szCs w:val="19"/>
                            </w:rPr>
                            <w:t xml:space="preserve">   </w:t>
                          </w:r>
                          <w:r>
                            <w:rPr>
                              <w:color w:val="00000A"/>
                              <w:sz w:val="19"/>
                              <w:szCs w:val="19"/>
                            </w:rPr>
                            <w:drawing>
                              <wp:inline distT="0" distB="0" distL="0" distR="0">
                                <wp:extent cx="201930" cy="201930"/>
                                <wp:effectExtent l="0" t="0" r="0" b="0"/>
                                <wp:docPr id="1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24.4pt;margin-top:6.7pt;width:396.35pt;height:40.5pt" wp14:anchorId="2074F399">
              <w10:wrap type="square"/>
              <v:fill o:detectmouseclick="t" on="false"/>
              <v:stroke color="#3465a4" weight="9360" joinstyle="round" endcap="flat"/>
              <v:textbox>
                <w:txbxContent>
                  <w:p>
                    <w:pPr>
                      <w:pStyle w:val="FrameContents"/>
                      <w:spacing w:lineRule="auto" w:line="240" w:before="40" w:after="50"/>
                      <w:rPr/>
                    </w:pPr>
                    <w:r>
                      <w:rPr>
                        <w:color w:val="00000A"/>
                        <w:sz w:val="19"/>
                        <w:szCs w:val="19"/>
                      </w:rPr>
                      <w:t xml:space="preserve">© </w:t>
                    </w:r>
                    <w:hyperlink r:id="rId12">
                      <w:r>
                        <w:rPr>
                          <w:rStyle w:val="InternetLink"/>
                          <w:color w:val="00000A"/>
                          <w:sz w:val="19"/>
                          <w:szCs w:val="19"/>
                        </w:rPr>
                        <w:t>Software University Foundation</w:t>
                      </w:r>
                    </w:hyperlink>
                    <w:r>
                      <w:rPr>
                        <w:color w:val="00000A"/>
                        <w:sz w:val="19"/>
                        <w:szCs w:val="19"/>
                      </w:rPr>
                      <w:t xml:space="preserve">. This work is licensed under the </w:t>
                    </w:r>
                    <w:hyperlink r:id="rId13">
                      <w:r>
                        <w:rPr>
                          <w:rStyle w:val="InternetLink"/>
                          <w:color w:val="00000A"/>
                          <w:sz w:val="19"/>
                          <w:szCs w:val="19"/>
                        </w:rPr>
                        <w:t>CC-BY-NC-SA</w:t>
                      </w:r>
                    </w:hyperlink>
                    <w:r>
                      <w:rPr>
                        <w:color w:val="00000A"/>
                        <w:sz w:val="19"/>
                        <w:szCs w:val="19"/>
                      </w:rPr>
                      <w:t xml:space="preserve"> license.</w:t>
                    </w:r>
                  </w:p>
                  <w:p>
                    <w:pPr>
                      <w:pStyle w:val="FrameContents"/>
                      <w:spacing w:lineRule="auto" w:line="240" w:before="80" w:after="0"/>
                      <w:ind w:left="567" w:firstLine="340"/>
                      <w:rPr>
                        <w:sz w:val="19"/>
                        <w:szCs w:val="19"/>
                      </w:rPr>
                    </w:pPr>
                    <w:r>
                      <w:rPr/>
                      <w:drawing>
                        <wp:inline distT="0" distB="0" distL="0" distR="0">
                          <wp:extent cx="201930" cy="201930"/>
                          <wp:effectExtent l="0" t="0" r="0" b="0"/>
                          <wp:docPr id="1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00000A"/>
                        <w:sz w:val="19"/>
                        <w:szCs w:val="19"/>
                      </w:rPr>
                      <w:t xml:space="preserve"> </w:t>
                    </w:r>
                    <w:r>
                      <w:rPr>
                        <w:color w:val="00000A"/>
                        <w:sz w:val="19"/>
                        <w:szCs w:val="19"/>
                        <w:lang w:val="bg-BG"/>
                      </w:rPr>
                      <w:t xml:space="preserve">  </w:t>
                    </w:r>
                    <w:r>
                      <w:rPr>
                        <w:color w:val="00000A"/>
                        <w:sz w:val="19"/>
                        <w:szCs w:val="19"/>
                        <w:lang w:val="bg-BG"/>
                      </w:rPr>
                      <w:drawing>
                        <wp:inline distT="0" distB="0" distL="0" distR="0">
                          <wp:extent cx="201930" cy="20193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00000A"/>
                        <w:sz w:val="19"/>
                        <w:szCs w:val="19"/>
                        <w:lang w:val="bg-BG"/>
                      </w:rPr>
                      <w:t xml:space="preserve">   </w:t>
                    </w:r>
                    <w:r>
                      <w:rPr>
                        <w:color w:val="00000A"/>
                        <w:sz w:val="19"/>
                        <w:szCs w:val="19"/>
                        <w:lang w:val="bg-BG"/>
                      </w:rPr>
                      <w:drawing>
                        <wp:inline distT="0" distB="0" distL="0" distR="0">
                          <wp:extent cx="201930" cy="201930"/>
                          <wp:effectExtent l="0" t="0" r="0" b="0"/>
                          <wp:docPr id="1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00000A"/>
                        <w:sz w:val="19"/>
                        <w:szCs w:val="19"/>
                      </w:rPr>
                      <w:t xml:space="preserve">   </w:t>
                    </w:r>
                    <w:r>
                      <w:rPr>
                        <w:color w:val="00000A"/>
                        <w:sz w:val="19"/>
                        <w:szCs w:val="19"/>
                      </w:rPr>
                      <w:drawing>
                        <wp:inline distT="0" distB="0" distL="0" distR="0">
                          <wp:extent cx="201930" cy="201930"/>
                          <wp:effectExtent l="0" t="0" r="0" b="0"/>
                          <wp:docPr id="1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00000A"/>
                        <w:sz w:val="19"/>
                        <w:szCs w:val="19"/>
                      </w:rPr>
                      <w:t xml:space="preserve">   </w:t>
                    </w:r>
                    <w:r>
                      <w:rPr>
                        <w:color w:val="00000A"/>
                        <w:sz w:val="19"/>
                        <w:szCs w:val="19"/>
                      </w:rPr>
                      <w:drawing>
                        <wp:inline distT="0" distB="0" distL="0" distR="0">
                          <wp:extent cx="201930" cy="201930"/>
                          <wp:effectExtent l="0" t="0" r="0" b="0"/>
                          <wp:docPr id="1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00000A"/>
                        <w:sz w:val="19"/>
                        <w:szCs w:val="19"/>
                      </w:rPr>
                      <w:t xml:space="preserve">   </w:t>
                    </w:r>
                    <w:r>
                      <w:rPr>
                        <w:color w:val="00000A"/>
                        <w:sz w:val="19"/>
                        <w:szCs w:val="19"/>
                      </w:rPr>
                      <w:drawing>
                        <wp:inline distT="0" distB="0" distL="0" distR="0">
                          <wp:extent cx="201930" cy="201930"/>
                          <wp:effectExtent l="0" t="0" r="0" b="0"/>
                          <wp:docPr id="1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00000A"/>
                        <w:sz w:val="19"/>
                        <w:szCs w:val="19"/>
                      </w:rPr>
                      <w:t xml:space="preserve">   </w:t>
                    </w:r>
                    <w:r>
                      <w:rPr>
                        <w:color w:val="00000A"/>
                        <w:sz w:val="19"/>
                        <w:szCs w:val="19"/>
                      </w:rPr>
                      <w:drawing>
                        <wp:inline distT="0" distB="0" distL="0" distR="0">
                          <wp:extent cx="198120" cy="198120"/>
                          <wp:effectExtent l="0" t="0" r="0" b="0"/>
                          <wp:docPr id="2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00000A"/>
                        <w:sz w:val="19"/>
                        <w:szCs w:val="19"/>
                      </w:rPr>
                      <w:t xml:space="preserve">   </w:t>
                    </w:r>
                    <w:r>
                      <w:rPr>
                        <w:color w:val="00000A"/>
                        <w:sz w:val="19"/>
                        <w:szCs w:val="19"/>
                      </w:rPr>
                      <w:drawing>
                        <wp:inline distT="0" distB="0" distL="0" distR="0">
                          <wp:extent cx="201930" cy="201930"/>
                          <wp:effectExtent l="0" t="0" r="0" b="0"/>
                          <wp:docPr id="2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00000A"/>
                        <w:sz w:val="19"/>
                        <w:szCs w:val="19"/>
                      </w:rPr>
                      <w:t xml:space="preserve">   </w:t>
                    </w:r>
                    <w:r>
                      <w:rPr>
                        <w:color w:val="00000A"/>
                        <w:sz w:val="19"/>
                        <w:szCs w:val="19"/>
                      </w:rPr>
                      <w:drawing>
                        <wp:inline distT="0" distB="0" distL="0" distR="0">
                          <wp:extent cx="201930" cy="201930"/>
                          <wp:effectExtent l="0" t="0" r="0" b="0"/>
                          <wp:docPr id="2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3" wp14:anchorId="41B1E642">
              <wp:simplePos x="0" y="0"/>
              <wp:positionH relativeFrom="column">
                <wp:posOffset>1589405</wp:posOffset>
              </wp:positionH>
              <wp:positionV relativeFrom="paragraph">
                <wp:posOffset>342265</wp:posOffset>
              </wp:positionV>
              <wp:extent cx="571500" cy="201930"/>
              <wp:effectExtent l="0" t="0" r="1905" b="9525"/>
              <wp:wrapNone/>
              <wp:docPr id="23" name="Text Box 6"/>
              <a:graphic xmlns:a="http://schemas.openxmlformats.org/drawingml/2006/main">
                <a:graphicData uri="http://schemas.microsoft.com/office/word/2010/wordprocessingShape">
                  <wps:wsp>
                    <wps:cNvSpPr/>
                    <wps:spPr>
                      <a:xfrm>
                        <a:off x="0" y="0"/>
                        <a:ext cx="570960" cy="201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25.15pt;margin-top:26.95pt;width:44.9pt;height:15.8pt" wp14:anchorId="41B1E642">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16" wp14:anchorId="60DB5C39">
              <wp:simplePos x="0" y="0"/>
              <wp:positionH relativeFrom="column">
                <wp:posOffset>5647055</wp:posOffset>
              </wp:positionH>
              <wp:positionV relativeFrom="paragraph">
                <wp:posOffset>342265</wp:posOffset>
              </wp:positionV>
              <wp:extent cx="902335" cy="203835"/>
              <wp:effectExtent l="0" t="0" r="13970" b="7620"/>
              <wp:wrapNone/>
              <wp:docPr id="25" name="Text Box 4"/>
              <a:graphic xmlns:a="http://schemas.openxmlformats.org/drawingml/2006/main">
                <a:graphicData uri="http://schemas.microsoft.com/office/word/2010/wordprocessingShape">
                  <wps:wsp>
                    <wps:cNvSpPr/>
                    <wps:spPr>
                      <a:xfrm>
                        <a:off x="0" y="0"/>
                        <a:ext cx="901800" cy="203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95pt;height:15.95pt" wp14:anchorId="60DB5C39">
              <w10:wrap type="square"/>
              <v:fill o:detectmouseclick="t" on="false"/>
              <v:stroke color="#3465a4" weight="6480" joinstyle="round" endcap="flat"/>
              <v:textbox>
                <w:txbxContent>
                  <w:p>
                    <w:pPr>
                      <w:pStyle w:val="FrameContents"/>
                      <w:spacing w:lineRule="auto" w:line="240" w:before="80" w:after="0"/>
                      <w:jc w:val="right"/>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v:textbox>
            </v:rect>
          </w:pict>
        </mc:Fallback>
      </mc:AlternateContent>
      <w:drawing>
        <wp:anchor behindDoc="1" distT="0" distB="2540" distL="0" distR="114300" simplePos="0" locked="0" layoutInCell="1" allowOverlap="1" relativeHeight="4">
          <wp:simplePos x="0" y="0"/>
          <wp:positionH relativeFrom="margin">
            <wp:align>left</wp:align>
          </wp:positionH>
          <wp:positionV relativeFrom="paragraph">
            <wp:posOffset>197485</wp:posOffset>
          </wp:positionV>
          <wp:extent cx="1431290" cy="359410"/>
          <wp:effectExtent l="0" t="0" r="0" b="0"/>
          <wp:wrapSquare wrapText="bothSides"/>
          <wp:docPr id="27"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5"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1170" w:hanging="360"/>
      </w:pPr>
      <w:rPr>
        <w:rFonts w:ascii="Symbol" w:hAnsi="Symbol" w:cs="Symbol" w:hint="default"/>
        <w:b/>
        <w:rFonts w:cs="Symbol"/>
      </w:rPr>
    </w:lvl>
    <w:lvl w:ilvl="1">
      <w:start w:val="1"/>
      <w:numFmt w:val="bullet"/>
      <w:lvlText w:val="o"/>
      <w:lvlJc w:val="left"/>
      <w:pPr>
        <w:ind w:left="1890" w:hanging="360"/>
      </w:pPr>
      <w:rPr>
        <w:rFonts w:ascii="Courier New" w:hAnsi="Courier New" w:cs="Courier New" w:hint="default"/>
        <w:rFonts w:cs="Courier New"/>
      </w:rPr>
    </w:lvl>
    <w:lvl w:ilvl="2">
      <w:start w:val="1"/>
      <w:numFmt w:val="bullet"/>
      <w:lvlText w:val=""/>
      <w:lvlJc w:val="left"/>
      <w:pPr>
        <w:ind w:left="2610" w:hanging="360"/>
      </w:pPr>
      <w:rPr>
        <w:rFonts w:ascii="Wingdings" w:hAnsi="Wingdings" w:cs="Wingdings" w:hint="default"/>
        <w:rFonts w:cs="Wingdings"/>
      </w:rPr>
    </w:lvl>
    <w:lvl w:ilvl="3">
      <w:start w:val="1"/>
      <w:numFmt w:val="bullet"/>
      <w:lvlText w:val=""/>
      <w:lvlJc w:val="left"/>
      <w:pPr>
        <w:ind w:left="3330" w:hanging="360"/>
      </w:pPr>
      <w:rPr>
        <w:rFonts w:ascii="Symbol" w:hAnsi="Symbol" w:cs="Symbol" w:hint="default"/>
        <w:rFonts w:cs="Symbol"/>
      </w:rPr>
    </w:lvl>
    <w:lvl w:ilvl="4">
      <w:start w:val="1"/>
      <w:numFmt w:val="bullet"/>
      <w:lvlText w:val="o"/>
      <w:lvlJc w:val="left"/>
      <w:pPr>
        <w:ind w:left="4050" w:hanging="360"/>
      </w:pPr>
      <w:rPr>
        <w:rFonts w:ascii="Courier New" w:hAnsi="Courier New" w:cs="Courier New" w:hint="default"/>
        <w:rFonts w:cs="Courier New"/>
      </w:rPr>
    </w:lvl>
    <w:lvl w:ilvl="5">
      <w:start w:val="1"/>
      <w:numFmt w:val="bullet"/>
      <w:lvlText w:val=""/>
      <w:lvlJc w:val="left"/>
      <w:pPr>
        <w:ind w:left="4770" w:hanging="360"/>
      </w:pPr>
      <w:rPr>
        <w:rFonts w:ascii="Wingdings" w:hAnsi="Wingdings" w:cs="Wingdings" w:hint="default"/>
        <w:rFonts w:cs="Wingdings"/>
      </w:rPr>
    </w:lvl>
    <w:lvl w:ilvl="6">
      <w:start w:val="1"/>
      <w:numFmt w:val="bullet"/>
      <w:lvlText w:val=""/>
      <w:lvlJc w:val="left"/>
      <w:pPr>
        <w:ind w:left="5490" w:hanging="360"/>
      </w:pPr>
      <w:rPr>
        <w:rFonts w:ascii="Symbol" w:hAnsi="Symbol" w:cs="Symbol" w:hint="default"/>
        <w:rFonts w:cs="Symbol"/>
      </w:rPr>
    </w:lvl>
    <w:lvl w:ilvl="7">
      <w:start w:val="1"/>
      <w:numFmt w:val="bullet"/>
      <w:lvlText w:val="o"/>
      <w:lvlJc w:val="left"/>
      <w:pPr>
        <w:ind w:left="6210" w:hanging="360"/>
      </w:pPr>
      <w:rPr>
        <w:rFonts w:ascii="Courier New" w:hAnsi="Courier New" w:cs="Courier New" w:hint="default"/>
        <w:rFonts w:cs="Courier New"/>
      </w:rPr>
    </w:lvl>
    <w:lvl w:ilvl="8">
      <w:start w:val="1"/>
      <w:numFmt w:val="bullet"/>
      <w:lvlText w:val=""/>
      <w:lvlJc w:val="left"/>
      <w:pPr>
        <w:ind w:left="693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00000A"/>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rFonts w:cs="Symbol"/>
      <w:b/>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Wingdings"/>
      <w:u w:val="none"/>
    </w:rPr>
  </w:style>
  <w:style w:type="character" w:styleId="ListLabel115">
    <w:name w:val="ListLabel 115"/>
    <w:qFormat/>
    <w:rPr>
      <w:rFonts w:cs="Wingdings 2"/>
      <w:u w:val="none"/>
    </w:rPr>
  </w:style>
  <w:style w:type="character" w:styleId="ListLabel116">
    <w:name w:val="ListLabel 116"/>
    <w:qFormat/>
    <w:rPr>
      <w:rFonts w:cs="OpenSymbol"/>
      <w:u w:val="none"/>
    </w:rPr>
  </w:style>
  <w:style w:type="character" w:styleId="ListLabel117">
    <w:name w:val="ListLabel 117"/>
    <w:qFormat/>
    <w:rPr>
      <w:rFonts w:cs="Wingdings"/>
      <w:u w:val="none"/>
    </w:rPr>
  </w:style>
  <w:style w:type="character" w:styleId="ListLabel118">
    <w:name w:val="ListLabel 118"/>
    <w:qFormat/>
    <w:rPr>
      <w:rFonts w:cs="Wingdings 2"/>
      <w:u w:val="none"/>
    </w:rPr>
  </w:style>
  <w:style w:type="character" w:styleId="ListLabel119">
    <w:name w:val="ListLabel 119"/>
    <w:qFormat/>
    <w:rPr>
      <w:rFonts w:cs="OpenSymbol"/>
      <w:u w:val="none"/>
    </w:rPr>
  </w:style>
  <w:style w:type="character" w:styleId="ListLabel120">
    <w:name w:val="ListLabel 120"/>
    <w:qFormat/>
    <w:rPr>
      <w:rFonts w:cs="Wingdings"/>
      <w:u w:val="none"/>
    </w:rPr>
  </w:style>
  <w:style w:type="character" w:styleId="ListLabel121">
    <w:name w:val="ListLabel 121"/>
    <w:qFormat/>
    <w:rPr>
      <w:rFonts w:cs="Wingdings 2"/>
      <w:u w:val="none"/>
    </w:rPr>
  </w:style>
  <w:style w:type="character" w:styleId="ListLabel122">
    <w:name w:val="ListLabel 122"/>
    <w:qFormat/>
    <w:rPr>
      <w:rFonts w:cs="OpenSymbol"/>
      <w:u w:val="none"/>
    </w:rPr>
  </w:style>
  <w:style w:type="character" w:styleId="ListLabel123">
    <w:name w:val="ListLabel 123"/>
    <w:qFormat/>
    <w:rPr>
      <w:rFonts w:cs="Wingdings"/>
      <w:u w:val="none"/>
    </w:rPr>
  </w:style>
  <w:style w:type="character" w:styleId="ListLabel124">
    <w:name w:val="ListLabel 124"/>
    <w:qFormat/>
    <w:rPr>
      <w:rFonts w:cs="Wingdings 2"/>
      <w:u w:val="none"/>
    </w:rPr>
  </w:style>
  <w:style w:type="character" w:styleId="ListLabel125">
    <w:name w:val="ListLabel 125"/>
    <w:qFormat/>
    <w:rPr>
      <w:rFonts w:cs="OpenSymbol"/>
      <w:u w:val="none"/>
    </w:rPr>
  </w:style>
  <w:style w:type="character" w:styleId="ListLabel126">
    <w:name w:val="ListLabel 126"/>
    <w:qFormat/>
    <w:rPr>
      <w:rFonts w:cs="Wingdings"/>
      <w:u w:val="none"/>
    </w:rPr>
  </w:style>
  <w:style w:type="character" w:styleId="ListLabel127">
    <w:name w:val="ListLabel 127"/>
    <w:qFormat/>
    <w:rPr>
      <w:rFonts w:cs="Wingdings 2"/>
      <w:u w:val="none"/>
    </w:rPr>
  </w:style>
  <w:style w:type="character" w:styleId="ListLabel128">
    <w:name w:val="ListLabel 128"/>
    <w:qFormat/>
    <w:rPr>
      <w:rFonts w:cs="OpenSymbol"/>
      <w:u w:val="none"/>
    </w:rPr>
  </w:style>
  <w:style w:type="character" w:styleId="ListLabel129">
    <w:name w:val="ListLabel 129"/>
    <w:qFormat/>
    <w:rPr>
      <w:rFonts w:cs="Wingdings"/>
      <w:u w:val="none"/>
    </w:rPr>
  </w:style>
  <w:style w:type="character" w:styleId="ListLabel130">
    <w:name w:val="ListLabel 130"/>
    <w:qFormat/>
    <w:rPr>
      <w:rFonts w:cs="Wingdings 2"/>
      <w:u w:val="none"/>
    </w:rPr>
  </w:style>
  <w:style w:type="character" w:styleId="ListLabel131">
    <w:name w:val="ListLabel 131"/>
    <w:qFormat/>
    <w:rPr>
      <w:rFonts w:cs="OpenSymbol"/>
      <w:u w:val="none"/>
    </w:rPr>
  </w:style>
  <w:style w:type="character" w:styleId="ListLabel132">
    <w:name w:val="ListLabel 132"/>
    <w:qFormat/>
    <w:rPr>
      <w:rFonts w:cs="Wingdings"/>
      <w:u w:val="none"/>
    </w:rPr>
  </w:style>
  <w:style w:type="character" w:styleId="ListLabel133">
    <w:name w:val="ListLabel 133"/>
    <w:qFormat/>
    <w:rPr>
      <w:rFonts w:cs="Wingdings 2"/>
      <w:u w:val="none"/>
    </w:rPr>
  </w:style>
  <w:style w:type="character" w:styleId="ListLabel134">
    <w:name w:val="ListLabel 134"/>
    <w:qFormat/>
    <w:rPr>
      <w:rFonts w:cs="OpenSymbol"/>
      <w:u w:val="none"/>
    </w:rPr>
  </w:style>
  <w:style w:type="character" w:styleId="ListLabel135">
    <w:name w:val="ListLabel 135"/>
    <w:qFormat/>
    <w:rPr>
      <w:rFonts w:cs="Wingdings"/>
      <w:u w:val="none"/>
    </w:rPr>
  </w:style>
  <w:style w:type="character" w:styleId="ListLabel136">
    <w:name w:val="ListLabel 136"/>
    <w:qFormat/>
    <w:rPr>
      <w:rFonts w:cs="Wingdings 2"/>
      <w:u w:val="none"/>
    </w:rPr>
  </w:style>
  <w:style w:type="character" w:styleId="ListLabel137">
    <w:name w:val="ListLabel 137"/>
    <w:qFormat/>
    <w:rPr>
      <w:rFonts w:cs="OpenSymbol"/>
      <w:u w:val="none"/>
    </w:rPr>
  </w:style>
  <w:style w:type="character" w:styleId="ListLabel138">
    <w:name w:val="ListLabel 138"/>
    <w:qFormat/>
    <w:rPr>
      <w:rFonts w:cs="Wingdings"/>
      <w:u w:val="none"/>
    </w:rPr>
  </w:style>
  <w:style w:type="character" w:styleId="ListLabel139">
    <w:name w:val="ListLabel 139"/>
    <w:qFormat/>
    <w:rPr>
      <w:rFonts w:cs="Wingdings 2"/>
      <w:u w:val="none"/>
    </w:rPr>
  </w:style>
  <w:style w:type="character" w:styleId="ListLabel140">
    <w:name w:val="ListLabel 140"/>
    <w:qFormat/>
    <w:rPr>
      <w:rFonts w:cs="OpenSymbol"/>
      <w:u w:val="none"/>
    </w:rPr>
  </w:style>
  <w:style w:type="character" w:styleId="ListLabel141">
    <w:name w:val="ListLabel 141"/>
    <w:qFormat/>
    <w:rPr>
      <w:rFonts w:cs="Wingdings"/>
      <w:u w:val="none"/>
    </w:rPr>
  </w:style>
  <w:style w:type="character" w:styleId="ListLabel142">
    <w:name w:val="ListLabel 142"/>
    <w:qFormat/>
    <w:rPr>
      <w:rFonts w:cs="Wingdings 2"/>
      <w:u w:val="none"/>
    </w:rPr>
  </w:style>
  <w:style w:type="character" w:styleId="ListLabel143">
    <w:name w:val="ListLabel 143"/>
    <w:qFormat/>
    <w:rPr>
      <w:rFonts w:cs="OpenSymbol"/>
      <w:u w:val="none"/>
    </w:rPr>
  </w:style>
  <w:style w:type="character" w:styleId="ListLabel144">
    <w:name w:val="ListLabel 144"/>
    <w:qFormat/>
    <w:rPr>
      <w:rFonts w:cs="Wingdings"/>
      <w:u w:val="none"/>
    </w:rPr>
  </w:style>
  <w:style w:type="character" w:styleId="ListLabel145">
    <w:name w:val="ListLabel 145"/>
    <w:qFormat/>
    <w:rPr>
      <w:rFonts w:cs="Wingdings 2"/>
      <w:u w:val="none"/>
    </w:rPr>
  </w:style>
  <w:style w:type="character" w:styleId="ListLabel146">
    <w:name w:val="ListLabel 146"/>
    <w:qFormat/>
    <w:rPr>
      <w:rFonts w:cs="OpenSymbol"/>
      <w:u w:val="none"/>
    </w:rPr>
  </w:style>
  <w:style w:type="character" w:styleId="ListLabel147">
    <w:name w:val="ListLabel 147"/>
    <w:qFormat/>
    <w:rPr>
      <w:rFonts w:cs="Wingdings"/>
      <w:u w:val="none"/>
    </w:rPr>
  </w:style>
  <w:style w:type="character" w:styleId="ListLabel148">
    <w:name w:val="ListLabel 148"/>
    <w:qFormat/>
    <w:rPr>
      <w:rFonts w:cs="Wingdings 2"/>
      <w:u w:val="none"/>
    </w:rPr>
  </w:style>
  <w:style w:type="character" w:styleId="ListLabel149">
    <w:name w:val="ListLabel 149"/>
    <w:qFormat/>
    <w:rPr>
      <w:rFonts w:cs="OpenSymbol"/>
      <w:u w:val="none"/>
    </w:rPr>
  </w:style>
  <w:style w:type="character" w:styleId="ListLabel150">
    <w:name w:val="ListLabel 150"/>
    <w:qFormat/>
    <w:rPr>
      <w:color w:val="00000A"/>
      <w:sz w:val="19"/>
      <w:szCs w:val="19"/>
    </w:rPr>
  </w:style>
  <w:style w:type="character" w:styleId="Bullets">
    <w:name w:val="Bullets"/>
    <w:qFormat/>
    <w:rPr>
      <w:rFonts w:ascii="OpenSymbol" w:hAnsi="OpenSymbol" w:eastAsia="OpenSymbol" w:cs="OpenSymbol"/>
    </w:rPr>
  </w:style>
  <w:style w:type="character" w:styleId="ListLabel151">
    <w:name w:val="ListLabel 151"/>
    <w:qFormat/>
    <w:rPr>
      <w:rFonts w:cs="Symbol"/>
      <w:b/>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cs="Wingdings"/>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cs="Wingdings"/>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rFonts w:cs="Wingdings"/>
      <w:u w:val="none"/>
    </w:rPr>
  </w:style>
  <w:style w:type="character" w:styleId="ListLabel173">
    <w:name w:val="ListLabel 173"/>
    <w:qFormat/>
    <w:rPr>
      <w:rFonts w:cs="Wingdings 2"/>
      <w:u w:val="none"/>
    </w:rPr>
  </w:style>
  <w:style w:type="character" w:styleId="ListLabel174">
    <w:name w:val="ListLabel 174"/>
    <w:qFormat/>
    <w:rPr>
      <w:rFonts w:cs="OpenSymbol"/>
      <w:u w:val="none"/>
    </w:rPr>
  </w:style>
  <w:style w:type="character" w:styleId="ListLabel175">
    <w:name w:val="ListLabel 175"/>
    <w:qFormat/>
    <w:rPr>
      <w:rFonts w:cs="Wingdings"/>
      <w:u w:val="none"/>
    </w:rPr>
  </w:style>
  <w:style w:type="character" w:styleId="ListLabel176">
    <w:name w:val="ListLabel 176"/>
    <w:qFormat/>
    <w:rPr>
      <w:rFonts w:cs="Wingdings 2"/>
      <w:u w:val="none"/>
    </w:rPr>
  </w:style>
  <w:style w:type="character" w:styleId="ListLabel177">
    <w:name w:val="ListLabel 177"/>
    <w:qFormat/>
    <w:rPr>
      <w:rFonts w:cs="OpenSymbol"/>
      <w:u w:val="none"/>
    </w:rPr>
  </w:style>
  <w:style w:type="character" w:styleId="ListLabel178">
    <w:name w:val="ListLabel 178"/>
    <w:qFormat/>
    <w:rPr>
      <w:rFonts w:cs="Wingdings"/>
      <w:u w:val="none"/>
    </w:rPr>
  </w:style>
  <w:style w:type="character" w:styleId="ListLabel179">
    <w:name w:val="ListLabel 179"/>
    <w:qFormat/>
    <w:rPr>
      <w:rFonts w:cs="Wingdings 2"/>
      <w:u w:val="none"/>
    </w:rPr>
  </w:style>
  <w:style w:type="character" w:styleId="ListLabel180">
    <w:name w:val="ListLabel 180"/>
    <w:qFormat/>
    <w:rPr>
      <w:rFonts w:cs="OpenSymbol"/>
      <w:u w:val="none"/>
    </w:rPr>
  </w:style>
  <w:style w:type="character" w:styleId="ListLabel181">
    <w:name w:val="ListLabel 181"/>
    <w:qFormat/>
    <w:rPr>
      <w:rFonts w:cs="Wingdings"/>
      <w:u w:val="none"/>
    </w:rPr>
  </w:style>
  <w:style w:type="character" w:styleId="ListLabel182">
    <w:name w:val="ListLabel 182"/>
    <w:qFormat/>
    <w:rPr>
      <w:rFonts w:cs="Wingdings 2"/>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ListLabel190">
    <w:name w:val="ListLabel 190"/>
    <w:qFormat/>
    <w:rPr>
      <w:rFonts w:cs="Wingdings"/>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style>
  <w:style w:type="character" w:styleId="ListLabel206">
    <w:name w:val="ListLabel 206"/>
    <w:qFormat/>
    <w:rPr>
      <w:color w:val="00000A"/>
      <w:sz w:val="19"/>
      <w:szCs w:val="19"/>
    </w:rPr>
  </w:style>
  <w:style w:type="paragraph" w:styleId="Heading">
    <w:name w:val="Heading"/>
    <w:basedOn w:val="Normal"/>
    <w:next w:val="TextBody"/>
    <w:qFormat/>
    <w:pPr>
      <w:keepNext w:val="true"/>
      <w:spacing w:before="240" w:after="120"/>
    </w:pPr>
    <w:rPr>
      <w:rFonts w:ascii="Liberation Sans" w:hAnsi="Liberation Sans" w:eastAsia="Noto Sans CJK JP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Zvezdin/SolidityCourse/blob/master/10. Final-Project-Live-Defense/interface.so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1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EF195-5260-4DDF-8AC8-9DEF6F35A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Application>LibreOffice/6.0.2.1.0$Linux_X86_64 LibreOffice_project/00m0$Build-1</Application>
  <Pages>3</Pages>
  <Words>886</Words>
  <Characters>4302</Characters>
  <CharactersWithSpaces>5151</CharactersWithSpaces>
  <Paragraphs>42</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2016-05-21T08:57:00Z</dcterms:created>
  <dc:creator>Software University Foundation</dc:creator>
  <dc:description/>
  <cp:keywords>softuni svn naming conventions</cp:keywords>
  <dc:language>en-US</dc:language>
  <cp:lastModifiedBy/>
  <cp:lastPrinted>2015-10-26T22:35:00Z</cp:lastPrinted>
  <dcterms:modified xsi:type="dcterms:W3CDTF">2018-03-17T12:01:51Z</dcterms:modified>
  <cp:revision>41</cp:revision>
  <dc:subject>Software Technologies</dc:subject>
  <dc:title>SoftUni SVN Naming Conventions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