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DocTitle"/>
      </w:pPr>
      <w:r>
        <w:t xml:space="preserve">BuyerPattern.php - Number Audit</w:t>
      </w:r>
    </w:p>
    <w:p>
      <w:pPr>
        <w:pStyle w:val="DocSub"/>
      </w:pPr>
      <w:r>
        <w:t xml:space="preserve">Screen Graphics, SG5 Custom. 2 September 2026. Full read of all 4,202 lines, plus SgXlsx.php and SgRequireAccess.php to settle two claims. Nothing has been changed - SG5 and EIP are both untouched.</w:t>
      </w:r>
    </w:p>
    <w:p>
      <w:pPr>
        <w:pStyle w:val="Heading1"/>
      </w:pPr>
      <w:r>
        <w:t xml:space="preserve">Bottom line</w:t>
      </w:r>
    </w:p>
    <w:p>
      <w:pPr>
        <w:pStyle w:val="Bullet"/>
      </w:pPr>
      <w:r>
        <w:t xml:space="preserve">•  </w:t>
      </w:r>
      <w:r>
        <w:t xml:space="preserve">The methodology and the headline dollars are sound. The partial-shipment de-duplication that inflated 2025 from $13.6M to $18.8M is correctly fixed, and it is fixed in one line-grain derived table that every level and every export reads through, so it cannot be right on one screen and wrong on another.</w:t>
      </w:r>
    </w:p>
    <w:p>
      <w:pPr>
        <w:pStyle w:val="Bullet"/>
      </w:pPr>
      <w:r>
        <w:t xml:space="preserve">•  </w:t>
      </w:r>
      <w:r>
        <w:t xml:space="preserve">Three defects would put a wrong number in front of a person today. They are in section 1 and are all contained.</w:t>
      </w:r>
    </w:p>
    <w:p>
      <w:pPr>
        <w:pStyle w:val="Bullet"/>
      </w:pPr>
      <w:r>
        <w:t xml:space="preserve">•  </w:t>
      </w:r>
      <w:r>
        <w:t xml:space="preserve">One access guard is written backwards from its own stated intent. Latent - whether it is exposed right now depends on a UDC data check (section 2).</w:t>
      </w:r>
    </w:p>
    <w:p>
      <w:pPr>
        <w:pStyle w:val="Bullet"/>
      </w:pPr>
      <w:r>
        <w:t xml:space="preserve">•  </w:t>
      </w:r>
      <w:r>
        <w:t xml:space="preserve">Everything else is narrow-trigger, cosmetic, or code hygiene. None of it produces a wrong figure.</w:t>
      </w:r>
    </w:p>
    <w:p>
      <w:pPr>
        <w:pStyle w:val="Bullet"/>
      </w:pPr>
      <w:r>
        <w:t xml:space="preserve">•  </w:t>
      </w:r>
      <w:r>
        <w:t xml:space="preserve">Six items could not be settled from the workstation and need either a query or a policy decision (section 5).</w:t>
      </w:r>
    </w:p>
    <w:p>
      <w:pPr>
        <w:pStyle w:val="Heading1"/>
      </w:pPr>
      <w:r>
        <w:t xml:space="preserve">1. Fix these three</w:t>
      </w:r>
    </w:p>
    <w:p>
      <w:pPr>
        <w:pStyle w:val="Heading2"/>
      </w:pPr>
      <w:r>
        <w:t xml:space="preserve">1.1  Overdue follow-up contradicts itself between screens</w:t>
      </w:r>
    </w:p>
    <w:p>
      <w:pPr>
        <w:pStyle w:val="Normal"/>
      </w:pPr>
      <w:r>
        <w:rPr>
          <w:b/>
        </w:rPr>
        <w:t xml:space="preserve">Lines  </w:t>
      </w:r>
      <w:r>
        <w:t xml:space="preserve">1535 (source), 1832, 1937, 3406-3413 (consumers).</w:t>
      </w:r>
    </w:p>
    <w:p>
      <w:pPr>
        <w:pStyle w:val="Normal"/>
      </w:pPr>
      <w:r>
        <w:t xml:space="preserve">The documented rule at 1578-1584 is that only a customer's most recent note carries the live follow-up. Two implementations exist. The Follow-ups view uses ROW_NUMBER() with RN = 1 and is correct. Three other consumers read $logAgg, whose OVERFU is a MIN over all rows for the customer:</w:t>
      </w:r>
    </w:p>
    <w:p>
      <w:pPr>
        <w:pStyle w:val="Code"/>
      </w:pPr>
      <w:r>
        <w:t xml:space="preserve">MIN(CASE WHEN CLFUDT &lt;  CURRENT DATE THEN CLFUDT END) AS OVERFU</w:t>
      </w:r>
    </w:p>
    <w:p>
      <w:pPr>
        <w:pStyle w:val="Normal"/>
      </w:pPr>
      <w:r>
        <w:t xml:space="preserve">Result: Level 3 and the workbook show red "(overdue)" for a follow-up that Level 4 renders struck through as "superseded". The workbook column a manager reads - "Overdue follow-ups" per rep - is one of the three wrong consumers.</w:t>
      </w:r>
    </w:p>
    <w:p>
      <w:pPr>
        <w:pStyle w:val="Normal"/>
      </w:pPr>
      <w:r>
        <w:rPr>
          <w:b/>
        </w:rPr>
        <w:t xml:space="preserve">Trigger  </w:t>
      </w:r>
      <w:r>
        <w:t xml:space="preserve">Any customer with two or more notes where an earlier one had a past-dated follow-up. That is the normal state once reps use the log, so this is live, not theoretical.</w:t>
      </w:r>
    </w:p>
    <w:p>
      <w:pPr>
        <w:pStyle w:val="Normal"/>
      </w:pPr>
      <w:r>
        <w:rPr>
          <w:b/>
        </w:rPr>
        <w:t xml:space="preserve">Fix  </w:t>
      </w:r>
      <w:r>
        <w:t xml:space="preserve">Point the three consumers at the same RN = 1 source the Follow-ups view already builds.</w:t>
      </w:r>
    </w:p>
    <w:p>
      <w:pPr>
        <w:pStyle w:val="Heading2"/>
      </w:pPr>
      <w:r>
        <w:t xml:space="preserve">1.2  "Stopped $/yr" tile does not match the tier grid total</w:t>
      </w:r>
    </w:p>
    <w:p>
      <w:pPr>
        <w:pStyle w:val="Normal"/>
      </w:pPr>
      <w:r>
        <w:rPr>
          <w:b/>
        </w:rPr>
        <w:t xml:space="preserve">Lines  </w:t>
      </w:r>
      <w:r>
        <w:t xml:space="preserve">1287-1289 versus 1295-1298.</w:t>
      </w:r>
    </w:p>
    <w:p>
      <w:pPr>
        <w:pStyle w:val="Normal"/>
      </w:pPr>
      <w:r>
        <w:t xml:space="preserve">$tileStopAmt, $tileRedAmt and $tileStopItems accumulate over every customer. $tierStop, $tierRed and $tierItems accumulate only inside the "if ($t &gt; 0)" branch. The tier grid TOTAL row prints array_sum($tierStop); the Level 1 tile and the status bar print $tileStopAmt.</w:t>
      </w:r>
    </w:p>
    <w:p>
      <w:pPr>
        <w:pStyle w:val="Normal"/>
      </w:pPr>
      <w:r>
        <w:t xml:space="preserve">Any customer with a stopped item who lands on no call tier appears in the tile figure and not in the grid total. Two numbers, same label, same screen, no explanation offered.</w:t>
      </w:r>
    </w:p>
    <w:p>
      <w:pPr>
        <w:pStyle w:val="Normal"/>
      </w:pPr>
      <w:r>
        <w:rPr>
          <w:b/>
        </w:rPr>
        <w:t xml:space="preserve">Note  </w:t>
      </w:r>
      <w:r>
        <w:t xml:space="preserve">At stake and Open order $ are accumulated inside the $t &gt; 0 branch and do reconcile correctly. This is specifically stopped, reduced and items-stopped.</w:t>
      </w:r>
    </w:p>
    <w:p>
      <w:pPr>
        <w:pStyle w:val="Normal"/>
      </w:pPr>
      <w:r>
        <w:rPr>
          <w:b/>
        </w:rPr>
        <w:t xml:space="preserve">Fix  </w:t>
      </w:r>
      <w:r>
        <w:t xml:space="preserve">Either move the three accumulators inside the $t &gt; 0 branch, or relabel the tile to say it covers all customers rather than the call lists.</w:t>
      </w:r>
    </w:p>
    <w:p>
      <w:pPr>
        <w:pStyle w:val="Heading2"/>
      </w:pPr>
      <w:r>
        <w:t xml:space="preserve">1.3  Chart and table disagree on thousands</w:t>
      </w:r>
    </w:p>
    <w:p>
      <w:pPr>
        <w:pStyle w:val="Normal"/>
      </w:pPr>
      <w:r>
        <w:rPr>
          <w:b/>
        </w:rPr>
        <w:t xml:space="preserve">Lines  </w:t>
      </w:r>
      <w:r>
        <w:t xml:space="preserve">3933 (JavaScript) versus 105 (PHP).</w:t>
      </w:r>
    </w:p>
    <w:p>
      <w:pPr>
        <w:pStyle w:val="Code"/>
      </w:pPr>
      <w:r>
        <w:t xml:space="preserve">PHP   bp_moneyK :  number_format($v / 1000, 1) . 'K'   -&gt;  $45.3K</w:t>
      </w:r>
    </w:p>
    <w:p>
      <w:pPr>
        <w:pStyle w:val="Code"/>
      </w:pPr>
      <w:r>
        <w:t xml:space="preserve">JS    money     :  Math.round(v / 1000) + 'K'          -&gt;  $45K</w:t>
      </w:r>
    </w:p>
    <w:p>
      <w:pPr>
        <w:pStyle w:val="Normal"/>
      </w:pPr>
      <w:r>
        <w:t xml:space="preserve">Millions agree at two decimals; thousands do not. The chart axis and tooltips read $45K where the table beside them reads $45.3K for the identical figure. One line of JavaScript.</w:t>
      </w:r>
    </w:p>
    <w:p>
      <w:pPr>
        <w:pStyle w:val="Heading1"/>
      </w:pPr>
      <w:r>
        <w:t xml:space="preserve">2. Latent - verify before deciding</w:t>
      </w:r>
    </w:p>
    <w:p>
      <w:pPr>
        <w:pStyle w:val="Heading2"/>
      </w:pPr>
      <w:r>
        <w:t xml:space="preserve">2.1  Access guard fails open where everything else fails closed</w:t>
      </w:r>
    </w:p>
    <w:p>
      <w:pPr>
        <w:pStyle w:val="Normal"/>
      </w:pPr>
      <w:r>
        <w:rPr>
          <w:b/>
        </w:rPr>
        <w:t xml:space="preserve">Lines  </w:t>
      </w:r>
      <w:r>
        <w:t xml:space="preserve">1567 ($actWho), 1596 ($fuWho).</w:t>
      </w:r>
    </w:p>
    <w:p>
      <w:pPr>
        <w:pStyle w:val="Code"/>
      </w:pPr>
      <w:r>
        <w:rPr>
          <w:b/>
        </w:rPr>
        <w:t xml:space="preserve">$fuWho = ($bpSeeAll   </w:t>
      </w:r>
      <w:r>
        <w:t xml:space="preserve"> empty($bpAllowed)) ? '' : ' AND c.CMSLSM IN (...)';</w:t>
      </w:r>
    </w:p>
    <w:p>
      <w:pPr>
        <w:pStyle w:val="Normal"/>
      </w:pPr>
      <w:r>
        <w:t xml:space="preserve">Everywhere else an empty allow-list means show nothing - $BP_ACCESS at 313-318 sets "AND 1 = 0" and says so in its comment. These two do the opposite: an empty list removes the filter entirely.</w:t>
      </w:r>
    </w:p>
    <w:p>
      <w:pPr>
        <w:pStyle w:val="Normal"/>
      </w:pPr>
      <w:r>
        <w:rPr>
          <w:b/>
        </w:rPr>
        <w:t xml:space="preserve">Correction to my first read  </w:t>
      </w:r>
      <w:r>
        <w:t xml:space="preserve">I initially called this reachable. That was too strong. $bpAllowed is fed by both the user's own UDC row and the ALL_CAN_SEE row, so if ALL_CAN_SEE carries its sales numbers the list is never empty and the filter does apply. The fail-open only opens if ALL_CAN_SEE is missing or holds no numeric values.</w:t>
      </w:r>
    </w:p>
    <w:p>
      <w:pPr>
        <w:pStyle w:val="Normal"/>
      </w:pPr>
      <w:r>
        <w:t xml:space="preserve">The guard should still be fixed to match its stated intent, but exposure today is a data question:</w:t>
      </w:r>
    </w:p>
    <w:p>
      <w:pPr>
        <w:pStyle w:val="Code"/>
      </w:pPr>
      <w:r>
        <w:t xml:space="preserve">SELECT UPPER(TRIM(UDCKEY)) AS K, UDCDESC1, UDCDESC2, UDCDESC3</w:t>
      </w:r>
    </w:p>
    <w:p>
      <w:pPr>
        <w:pStyle w:val="Code"/>
      </w:pPr>
      <w:r>
        <w:t xml:space="preserve">  FROM PROITRG.UDCDETAIL</w:t>
      </w:r>
    </w:p>
    <w:p>
      <w:pPr>
        <w:pStyle w:val="Code"/>
      </w:pPr>
      <w:r>
        <w:t xml:space="preserve"> WHERE UPPER(TRIM(UDCSYSTEMD)) = 'BUYPATTERN'</w:t>
      </w:r>
    </w:p>
    <w:p>
      <w:pPr>
        <w:pStyle w:val="Code"/>
      </w:pPr>
      <w:r>
        <w:t xml:space="preserve">   AND UPPER(TRIM(UDCCODED))   = 'SALESPRSN'</w:t>
      </w:r>
    </w:p>
    <w:p>
      <w:pPr>
        <w:pStyle w:val="Code"/>
      </w:pPr>
      <w:r>
        <w:t xml:space="preserve">   AND UPPER(TRIM(UDCKEY))     = 'ALL_CAN_SEE'</w:t>
      </w:r>
    </w:p>
    <w:p>
      <w:pPr>
        <w:pStyle w:val="Normal"/>
      </w:pPr>
      <w:r>
        <w:t xml:space="preserve">If that returns numeric values, this is latent only. If it returns nothing, a user with a SYPGMS grant but no UDC row currently sees the company-wide follow-up list and contact log.</w:t>
      </w:r>
    </w:p>
    <w:p>
      <w:pPr>
        <w:pStyle w:val="Normal"/>
      </w:pPr>
      <w:r>
        <w:rPr>
          <w:b/>
        </w:rPr>
        <w:t xml:space="preserve">Fix  </w:t>
      </w:r>
      <w:r>
        <w:t xml:space="preserve">Mirror $BP_ACCESS: $bpSeeAll ? '' : (!empty($bpAllowed) ? ' AND c.CMSLSM IN (...)' : ' AND 1 = 0').</w:t>
      </w:r>
    </w:p>
    <w:p>
      <w:pPr>
        <w:pStyle w:val="Heading1"/>
      </w:pPr>
      <w:r>
        <w:t xml:space="preserve">3. Narrow trigger - real, but rarely hit</w:t>
      </w:r>
    </w:p>
    <w:p>
      <w:pPr>
        <w:pStyle w:val="Bullet"/>
      </w:pPr>
      <w:r>
        <w:t xml:space="preserve">•  </w:t>
      </w:r>
      <w:r>
        <w:t xml:space="preserve">Call-by dates built on 31-day months (1196). ($mm - $tgtQM1) * 31 + $dd treats every month as 31 days. November has 30, so a December kickoff computes as day 77 of the quarter instead of 76. Every affected call-by date is 1 to 2 days off. It is the figure the call cards render in the highlighted yellow box.</w:t>
      </w:r>
    </w:p>
    <w:p>
      <w:pPr>
        <w:pStyle w:val="Bullet"/>
      </w:pPr>
      <w:r>
        <w:t xml:space="preserve">•  </w:t>
      </w:r>
      <w:r>
        <w:t xml:space="preserve">Empty filtered export exports the whole call list (2275). $listRows is only populated when view = cust, so a Level 3 filter matching zero customers falls back to exporting every tiered customer - with a filename and header implying the filter was applied.</w:t>
      </w:r>
    </w:p>
    <w:p>
      <w:pPr>
        <w:pStyle w:val="Bullet"/>
      </w:pPr>
      <w:r>
        <w:t xml:space="preserve">•  </w:t>
      </w:r>
      <w:r>
        <w:rPr>
          <w:b/>
        </w:rPr>
        <w:t xml:space="preserve">Sort treats "no inventory record" as zero (4159). parseFloat(td.getAttribute('data-val'))   </w:t>
      </w:r>
      <w:r>
        <w:t xml:space="preserve"> 0 turns the empty data-val used for a null availability into 0, collapsing the distinction between "no HDIWHS/HDIPLT record" and "zero on hand" that the code deliberately maintains everywhere else.</w:t>
      </w:r>
    </w:p>
    <w:p>
      <w:pPr>
        <w:pStyle w:val="Bullet"/>
      </w:pPr>
      <w:r>
        <w:t xml:space="preserve">•  </w:t>
      </w:r>
      <w:r>
        <w:t xml:space="preserve">Workbook Read Me hardcodes the window basis (1770 versus 64). ?basis=active changes every normal-year, at-stake and lost-dollar figure - the header at 62 puts it at $6.47M versus $10.03M - but the Read Me always states the three-year window. The on-screen admin block at 3890 interpolates the live basis correctly; the Read Me needs the same.</w:t>
      </w:r>
    </w:p>
    <w:p>
      <w:pPr>
        <w:pStyle w:val="Bullet"/>
      </w:pPr>
      <w:r>
        <w:t xml:space="preserve">•  </w:t>
      </w:r>
      <w:r>
        <w:t xml:space="preserve">DST off-by-one in day counts (166-172, 1202). bp_daysSince and $kickTs add raw 86400-second days. Across a DST boundary that shifts a result by one day, and Q4 crosses 1 November.</w:t>
      </w:r>
    </w:p>
    <w:p>
      <w:pPr>
        <w:pStyle w:val="Heading1"/>
      </w:pPr>
      <w:r>
        <w:t xml:space="preserve">4. Cosmetic and hygiene - no wrong numbers</w:t>
      </w:r>
    </w:p>
    <w:p>
      <w:pPr>
        <w:pStyle w:val="Normal"/>
      </w:pPr>
      <w:r>
        <w:t xml:space="preserve">Listed for completeness because the brief was to vet every number. None of these will show anyone a bad figure.</w:t>
      </w:r>
    </w:p>
    <w:p>
      <w:pPr>
        <w:pStyle w:val="Bullet"/>
      </w:pPr>
      <w:r>
        <w:t xml:space="preserve">•  </w:t>
      </w:r>
      <w:r>
        <w:t xml:space="preserve">Hardcoded measured literals - "1,673 lines worth $3.75M" (3885) and "Nine ship-to numbers" (3881) - sit in sentences whose years interpolate from the rolling window, so the prose will drift as the window advances.</w:t>
      </w:r>
    </w:p>
    <w:p>
      <w:pPr>
        <w:pStyle w:val="Bullet"/>
      </w:pPr>
      <w:r>
        <w:t xml:space="preserve">•  </w:t>
      </w:r>
      <w:r>
        <w:t xml:space="preserve">Follow-ups tile shows overdue + today + week, excluding "later"; the Follow-ups page header shows the full count including "later". Two totals for one queue.</w:t>
      </w:r>
    </w:p>
    <w:p>
      <w:pPr>
        <w:pStyle w:val="Bullet"/>
      </w:pPr>
      <w:r>
        <w:t xml:space="preserve">•  </w:t>
      </w:r>
      <w:r>
        <w:t xml:space="preserve">Level 5 audit note renders as "Line amount = Q4-independent: qty ordered x unit price..." (3797). $tgtQLbl interpolated into a sentence where it means nothing.</w:t>
      </w:r>
    </w:p>
    <w:p>
      <w:pPr>
        <w:pStyle w:val="Bullet"/>
      </w:pPr>
      <w:r>
        <w:t xml:space="preserve">•  </w:t>
      </w:r>
      <w:r>
        <w:t xml:space="preserve">Overdue tests on the cards, activity and log views compare against PHP date(), not the IBM i CURRENT DATE the rest of the page is anchored to (3441, 3689, 3785).</w:t>
      </w:r>
    </w:p>
    <w:p>
      <w:pPr>
        <w:pStyle w:val="Bullet"/>
      </w:pPr>
      <w:r>
        <w:t xml:space="preserve">•  </w:t>
      </w:r>
      <w:r>
        <w:t xml:space="preserve">$skuAgg desc is set once from the first row and never backfilled, though pgrp immediately below it is (1073-1080). A SKU whose first customer row has a blank description stays blank.</w:t>
      </w:r>
    </w:p>
    <w:p>
      <w:pPr>
        <w:pStyle w:val="Bullet"/>
      </w:pPr>
      <w:r>
        <w:t xml:space="preserve">•  </w:t>
      </w:r>
      <w:r>
        <w:t xml:space="preserve">Header comment says "5 internal bill-to accounts; 4 named COs" (36) but $BP_BAD_ORDERS holds 3. Comment only - the Read Me and admin block both compute the count and display 3 correctly.</w:t>
      </w:r>
    </w:p>
    <w:p>
      <w:pPr>
        <w:pStyle w:val="Bullet"/>
      </w:pPr>
      <w:r>
        <w:t xml:space="preserve">•  </w:t>
      </w:r>
      <w:r>
        <w:t xml:space="preserve">$bpHasRow is assigned and never read (295, 299). Dead - but it is exactly the flag that would have distinguished "has a UDC row" from "has none", which is the missing distinction behind section 2.1.</w:t>
      </w:r>
    </w:p>
    <w:p>
      <w:pPr>
        <w:pStyle w:val="Bullet"/>
      </w:pPr>
      <w:r>
        <w:t xml:space="preserve">•  </w:t>
      </w:r>
      <w:r>
        <w:t xml:space="preserve">colspan="16" hardcoded on the Level 4 empty-state row (3736). Correct only because count($yrs) is 4.</w:t>
      </w:r>
    </w:p>
    <w:p>
      <w:pPr>
        <w:pStyle w:val="Bullet"/>
      </w:pPr>
      <w:r>
        <w:t xml:space="preserve">•  </w:t>
      </w:r>
      <w:r>
        <w:t xml:space="preserve">Workbook qty cells store the unrounded float behind a #,##0 mask while the CSV writes rounded text. Displays agree; summing the two columns gives different totals. The workbook is the more correct of the two.</w:t>
      </w:r>
    </w:p>
    <w:p>
      <w:pPr>
        <w:pStyle w:val="Bullet"/>
      </w:pPr>
      <w:r>
        <w:t xml:space="preserve">•  </w:t>
      </w:r>
      <w:r>
        <w:t xml:space="preserve">tqShare shows 0 decimals on screen and 1 decimal in the workbook and CSV - 35% versus 35.0%.</w:t>
      </w:r>
    </w:p>
    <w:p>
      <w:pPr>
        <w:pStyle w:val="Bullet"/>
      </w:pPr>
      <w:r>
        <w:t xml:space="preserve">•  </w:t>
      </w:r>
      <w:r>
        <w:t xml:space="preserve">$lastDay hardcodes February as 29 (223). Unreachable, because both consumers index it with a quarter-end month (always 3, 6, 9 or 12). Flagged only so nobody promotes it into a live path.</w:t>
      </w:r>
    </w:p>
    <w:p>
      <w:pPr>
        <w:pStyle w:val="Heading1"/>
      </w:pPr>
      <w:r>
        <w:t xml:space="preserve">5. Open questions - need a query or your decision</w:t>
      </w:r>
    </w:p>
    <w:p>
      <w:pPr>
        <w:pStyle w:val="Heading2"/>
      </w:pPr>
      <w:r>
        <w:t xml:space="preserve">5.1  The DHORUF = 0 arm may be zeroing real revenue</w:t>
      </w:r>
    </w:p>
    <w:p>
      <w:pPr>
        <w:pStyle w:val="Normal"/>
      </w:pPr>
      <w:r>
        <w:t xml:space="preserve">The header at 17-22 claims both arms of the revenue CASE are no-ops because DHORUF is 0 or 1 throughout and the divisor moves yearly totals by $0.00. Those two statements are in tension: if DHORUF = 0 on a line with a real price and quantity, the CASE returns 0 and that line's revenue is dropped entirely. That is not a no-op.</w:t>
      </w:r>
    </w:p>
    <w:p>
      <w:pPr>
        <w:pStyle w:val="Code"/>
      </w:pPr>
      <w:r>
        <w:t xml:space="preserve">SELECT COUNT(*) AS LINES_AT_RISK,</w:t>
      </w:r>
    </w:p>
    <w:p>
      <w:pPr>
        <w:pStyle w:val="Code"/>
      </w:pPr>
      <w:r>
        <w:t xml:space="preserve">       SUM(d.DHQORD * d.DHSLPR) AS DOLLARS_ZEROED</w:t>
      </w:r>
    </w:p>
    <w:p>
      <w:pPr>
        <w:pStyle w:val="Code"/>
      </w:pPr>
      <w:r>
        <w:t xml:space="preserve">  FROM SGHDSDATA.OEORDH d</w:t>
      </w:r>
    </w:p>
    <w:p>
      <w:pPr>
        <w:pStyle w:val="Code"/>
      </w:pPr>
      <w:r>
        <w:t xml:space="preserve"> WHERE d."DHSEQ#" &lt;&gt; 0</w:t>
      </w:r>
    </w:p>
    <w:p>
      <w:pPr>
        <w:pStyle w:val="Code"/>
      </w:pPr>
      <w:r>
        <w:t xml:space="preserve">   AND COALESCE(d.DHORUF, 0) = 0</w:t>
      </w:r>
    </w:p>
    <w:p>
      <w:pPr>
        <w:pStyle w:val="Code"/>
      </w:pPr>
      <w:r>
        <w:t xml:space="preserve">   AND d.DHSLPR &gt; 0</w:t>
      </w:r>
    </w:p>
    <w:p>
      <w:pPr>
        <w:pStyle w:val="Code"/>
      </w:pPr>
      <w:r>
        <w:t xml:space="preserve">   AND d.DHQORD &gt; 0</w:t>
      </w:r>
    </w:p>
    <w:p>
      <w:pPr>
        <w:pStyle w:val="Normal"/>
      </w:pPr>
      <w:r>
        <w:t xml:space="preserve">Zero rows and the header is right. Anything else and every revenue figure on the page is understated.</w:t>
      </w:r>
    </w:p>
    <w:p>
      <w:pPr>
        <w:pStyle w:val="Heading2"/>
      </w:pPr>
      <w:r>
        <w:t xml:space="preserve">5.2  MAX() across disagreeing shipment rows</w:t>
      </w:r>
    </w:p>
    <w:p>
      <w:pPr>
        <w:pStyle w:val="Normal"/>
      </w:pPr>
      <w:r>
        <w:t xml:space="preserve">$AMT at 424 uses MAX(d.DHSLPR) and MAX(d.DHORUF). That is provably correct for DHQORD, which the header documents as restating the full line quantity on every row. For price and unit factor, MAX silently picks the highest if the rows ever disagree. One query would confirm they never do.</w:t>
      </w:r>
    </w:p>
    <w:p>
      <w:pPr>
        <w:pStyle w:val="Heading2"/>
      </w:pPr>
      <w:r>
        <w:t xml:space="preserve">5.3  Open-order dollars use no unit factor</w:t>
      </w:r>
    </w:p>
    <w:p>
      <w:pPr>
        <w:pStyle w:val="Normal"/>
      </w:pPr>
      <w:r>
        <w:t xml:space="preserve">$sqlOpen at 800-801 computes (ODQORD - ODQSTD) * ODSLPR with no divisor, while invoiced revenue divides by DHORUF. If OEORDT carries an equivalent field, the two columns are not on the same footing.</w:t>
      </w:r>
    </w:p>
    <w:p>
      <w:pPr>
        <w:pStyle w:val="Heading2"/>
      </w:pPr>
      <w:r>
        <w:t xml:space="preserve">5.4  Availability sums every warehouse and plant</w:t>
      </w:r>
    </w:p>
    <w:p>
      <w:pPr>
        <w:pStyle w:val="Normal"/>
      </w:pPr>
      <w:r>
        <w:t xml:space="preserve">bp_qtyAvail aggregates HDIWHS across all warehouses and HDIPLT across all plants with no exclusions. If any warehouse is scrap, quarantine or non-nettable, Qty Available is overstated. Your call whether that is right for SG.</w:t>
      </w:r>
    </w:p>
    <w:p>
      <w:pPr>
        <w:pStyle w:val="Heading2"/>
      </w:pPr>
      <w:r>
        <w:t xml:space="preserve">5.5  $BP_LOGLIB splits the schema per environment</w:t>
      </w:r>
    </w:p>
    <w:p>
      <w:pPr>
        <w:pStyle w:val="Normal"/>
      </w:pPr>
      <w:r>
        <w:t xml:space="preserve">Line 363 uses SG5OBJ on Test and SGOBJ on Live. CLAUDE.md section 3 says the custom-object schema is SGOBJ in both. SG_PostUpgrade_RebuildCustomObjects.sql checks both SGOBJ.BPCALLLOG and SG5OBJ.BPCALLLOG, so the code looks right and the CLAUDE.md row looks stale. Worth reconciling so the next person does not trust the wrong one.</w:t>
      </w:r>
    </w:p>
    <w:p>
      <w:pPr>
        <w:pStyle w:val="Heading2"/>
      </w:pPr>
      <w:r>
        <w:t xml:space="preserve">5.6  Policy constants</w:t>
      </w:r>
    </w:p>
    <w:p>
      <w:pPr>
        <w:pStyle w:val="Normal"/>
      </w:pPr>
      <w:r>
        <w:t xml:space="preserve">$BP_CALL_LEAD = 45, $BP_SHARE_STRONG = 0.35, $BP_YEARS_STRONG = 2, $BP_DOWN_FACTOR = 0.50, $BP_SHARE_TILE = 0.25, the tqYears &gt;= 3 "every target quarter" test, the 365-day "still moving" green, and the 25-row SKU grid. All internally consistent and correctly reflected in the on-screen rule text. These are business policy to confirm, not code defects.</w:t>
      </w:r>
    </w:p>
    <w:p>
      <w:pPr>
        <w:pStyle w:val="Heading1"/>
      </w:pPr>
      <w:r>
        <w:t xml:space="preserve">6. Verified correct - no need to re-check</w:t>
      </w:r>
    </w:p>
    <w:p>
      <w:pPr>
        <w:pStyle w:val="Bullet"/>
      </w:pPr>
      <w:r>
        <w:t xml:space="preserve">•  </w:t>
      </w:r>
      <w:r>
        <w:t xml:space="preserve">Partial-shipment de-duplication. Each (order, line) counted once via the line-grain derived table; applied in one place so it reaches every level and every export.</w:t>
      </w:r>
    </w:p>
    <w:p>
      <w:pPr>
        <w:pStyle w:val="Bullet"/>
      </w:pPr>
      <w:r>
        <w:t xml:space="preserve">•  </w:t>
      </w:r>
      <w:r>
        <w:t xml:space="preserve">CYMD conversion round-trips correctly in both directions (bp_cymd, bp_cymdParts).</w:t>
      </w:r>
    </w:p>
    <w:p>
      <w:pPr>
        <w:pStyle w:val="Bullet"/>
      </w:pPr>
      <w:r>
        <w:t xml:space="preserve">•  </w:t>
      </w:r>
      <w:r>
        <w:t xml:space="preserve">Quarter, target-quarter and year-window arithmetic, including the roll-forward. Today it correctly targets Q4 2026 against Q4 of 2023, 2024 and 2025.</w:t>
      </w:r>
    </w:p>
    <w:p>
      <w:pPr>
        <w:pStyle w:val="Bullet"/>
      </w:pPr>
      <w:r>
        <w:t xml:space="preserve">•  </w:t>
      </w:r>
      <w:r>
        <w:t xml:space="preserve">Per-year and per-target-quarter SQL column generation, and the year-to-month extraction INT(ORDDTE/10000)+1900 and MOD(INT(ORDDTE/100),100).</w:t>
      </w:r>
    </w:p>
    <w:p>
      <w:pPr>
        <w:pStyle w:val="Bullet"/>
      </w:pPr>
      <w:r>
        <w:t xml:space="preserve">•  </w:t>
      </w:r>
      <w:r>
        <w:t xml:space="preserve">Availability formula reconciles exactly - avail + onorder = proj - and the UNION ALL column alignment across HDIWHS and HDIPLT is correct.</w:t>
      </w:r>
    </w:p>
    <w:p>
      <w:pPr>
        <w:pStyle w:val="Bullet"/>
      </w:pPr>
      <w:r>
        <w:t xml:space="preserve">•  </w:t>
      </w:r>
      <w:r>
        <w:t xml:space="preserve">Distinct customers correctly not summed across years in the seasonal chart, while orders correctly are (an order carries one order date, so no double count).</w:t>
      </w:r>
    </w:p>
    <w:p>
      <w:pPr>
        <w:pStyle w:val="Bullet"/>
      </w:pPr>
      <w:r>
        <w:t xml:space="preserve">•  </w:t>
      </w:r>
      <w:r>
        <w:t xml:space="preserve">Tier assignment and the per-tier stake basis are internally consistent, and the tier grid's own totals reconcile.</w:t>
      </w:r>
    </w:p>
    <w:p>
      <w:pPr>
        <w:pStyle w:val="Bullet"/>
      </w:pPr>
      <w:r>
        <w:t xml:space="preserve">•  </w:t>
      </w:r>
      <w:r>
        <w:t xml:space="preserve">Level 3 colspan arithmetic (23 + count($yrs) + period columns) is correct.</w:t>
      </w:r>
    </w:p>
    <w:p>
      <w:pPr>
        <w:pStyle w:val="Bullet"/>
      </w:pPr>
      <w:r>
        <w:t xml:space="preserve">•  </w:t>
      </w:r>
      <w:r>
        <w:t xml:space="preserve">CLOUTC entries all fit CHAR(20) - "Reached - will order" is exactly 20 - with a runtime guard that reports any future overrun.</w:t>
      </w:r>
    </w:p>
    <w:p>
      <w:pPr>
        <w:pStyle w:val="Bullet"/>
      </w:pPr>
      <w:r>
        <w:t xml:space="preserve">•  </w:t>
      </w:r>
      <w:r>
        <w:t xml:space="preserve">The 25-row SKU grid matches the 25-item availability prefetch, in the same order.</w:t>
      </w:r>
    </w:p>
    <w:p>
      <w:pPr>
        <w:pStyle w:val="Bullet"/>
      </w:pPr>
      <w:r>
        <w:t xml:space="preserve">•  </w:t>
      </w:r>
      <w:r>
        <w:t xml:space="preserve">Level 4 supersede logic is correct; it is the other three consumers that drifted from it.</w:t>
      </w:r>
    </w:p>
    <w:p>
      <w:pPr>
        <w:pStyle w:val="Bullet"/>
      </w:pPr>
      <w:r>
        <w:t xml:space="preserve">•  </w:t>
      </w:r>
      <w:r>
        <w:t xml:space="preserve">Chart click-through index mapping (year label to $yrs, datasetIndex to quarter) is correct.</w:t>
      </w:r>
    </w:p>
    <w:p>
      <w:pPr>
        <w:pStyle w:val="Heading1"/>
      </w:pPr>
      <w:r>
        <w:t xml:space="preserve">7. Suggested order of work</w:t>
      </w:r>
    </w:p>
    <w:p>
      <w:pPr>
        <w:pStyle w:val="Bullet"/>
      </w:pPr>
      <w:r>
        <w:t xml:space="preserve">•  </w:t>
      </w:r>
      <w:r>
        <w:t xml:space="preserve">Section 1 first - 1.1 and 1.2 are the two that change what someone does, and 1.3 is one line.</w:t>
      </w:r>
    </w:p>
    <w:p>
      <w:pPr>
        <w:pStyle w:val="Bullet"/>
      </w:pPr>
      <w:r>
        <w:t xml:space="preserve">•  </w:t>
      </w:r>
      <w:r>
        <w:t xml:space="preserve">Run the ALL_CAN_SEE query (2.1) and the DHORUF query (5.1). Those two answers decide whether anything else is urgent.</w:t>
      </w:r>
    </w:p>
    <w:p>
      <w:pPr>
        <w:pStyle w:val="Bullet"/>
      </w:pPr>
      <w:r>
        <w:t xml:space="preserve">•  </w:t>
      </w:r>
      <w:r>
        <w:t xml:space="preserve">Section 3 next. All four are contained and independent.</w:t>
      </w:r>
    </w:p>
    <w:p>
      <w:pPr>
        <w:pStyle w:val="Bullet"/>
      </w:pPr>
      <w:r>
        <w:t xml:space="preserve">•  </w:t>
      </w:r>
      <w:r>
        <w:t xml:space="preserve">Section 4 can sit in a backlog indefinitely.</w:t>
      </w:r>
    </w:p>
    <w:p>
      <w:pPr>
        <w:pStyle w:val="Normal"/>
      </w:pPr>
      <w:r>
        <w:t xml:space="preserve">Sequence for any change stays Backup, Verify, Execute, per CLAUDE.md section 5, in SG5 first, with EIP left alone until you have seen each fix on port 5610.</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cs="Calibri"/>
        <w:sz w:val="21"/>
      </w:rPr>
    </w:rPrDefault>
  </w:docDefaults>
  <w:style w:type="paragraph" w:styleId="Normal" w:default="1">
    <w:name w:val="Normal"/>
    <w:pPr>
      <w:spacing w:after="110" w:line="264" w:lineRule="auto"/>
    </w:pPr>
  </w:style>
  <w:style w:type="paragraph" w:styleId="DocTitle">
    <w:name w:val="Doc Title"/>
    <w:pPr>
      <w:spacing w:after="60"/>
    </w:pPr>
    <w:rPr>
      <w:b/>
      <w:sz w:val="40"/>
      <w:color w:val="111827"/>
    </w:rPr>
  </w:style>
  <w:style w:type="paragraph" w:styleId="DocSub">
    <w:name w:val="Doc Sub"/>
    <w:pPr>
      <w:spacing w:after="300"/>
    </w:pPr>
    <w:rPr>
      <w:sz w:val="19"/>
      <w:color w:val="6B7280"/>
    </w:rPr>
  </w:style>
  <w:style w:type="paragraph" w:styleId="Heading1">
    <w:name w:val="heading 1"/>
    <w:pPr>
      <w:outlineLvl w:val="0"/>
      <w:spacing w:before="360" w:after="140"/>
      <w:pBdr>
        <w:bottom w:val="single" w:sz="6" w:color="D1D5DB"/>
      </w:pBdr>
    </w:pPr>
    <w:rPr>
      <w:b/>
      <w:sz w:val="30"/>
      <w:color w:val="1F2937"/>
    </w:rPr>
  </w:style>
  <w:style w:type="paragraph" w:styleId="Heading2">
    <w:name w:val="heading 2"/>
    <w:pPr>
      <w:outlineLvl w:val="1"/>
      <w:spacing w:before="240" w:after="90"/>
      <w:keepNext/>
    </w:pPr>
    <w:rPr>
      <w:b/>
      <w:sz w:val="24"/>
      <w:color w:val="374151"/>
    </w:rPr>
  </w:style>
  <w:style w:type="paragraph" w:styleId="Bullet">
    <w:name w:val="Bullet"/>
    <w:pPr>
      <w:ind w:left="360" w:hanging="200"/>
      <w:spacing w:after="70"/>
    </w:pPr>
  </w:style>
  <w:style w:type="paragraph" w:styleId="Code">
    <w:name w:val="Code"/>
    <w:pPr>
      <w:ind w:left="360"/>
      <w:spacing w:before="60" w:after="120"/>
      <w:shd w:val="clear" w:fill="F3F4F6"/>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