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A58" w:rsidRPr="008941DB" w:rsidRDefault="00AA585F">
      <w:pPr>
        <w:spacing w:after="200" w:line="276" w:lineRule="auto"/>
        <w:rPr>
          <w:rFonts w:cs="Arial"/>
          <w:lang w:val="es-US"/>
        </w:rPr>
      </w:pPr>
      <w:r w:rsidRPr="008941DB">
        <w:rPr>
          <w:rFonts w:cs="Arial"/>
          <w:b/>
          <w:bCs/>
          <w:i/>
          <w:sz w:val="17"/>
          <w:szCs w:val="17"/>
          <w:lang w:val="es-US"/>
        </w:rPr>
        <w:t xml:space="preserve">Para </w:t>
      </w:r>
      <w:r w:rsidR="006534CA" w:rsidRPr="008941DB">
        <w:rPr>
          <w:rFonts w:cs="Arial"/>
          <w:b/>
          <w:bCs/>
          <w:i/>
          <w:sz w:val="17"/>
          <w:szCs w:val="17"/>
          <w:lang w:val="es-US"/>
        </w:rPr>
        <w:t>obtener informació</w:t>
      </w:r>
      <w:r w:rsidRPr="008941DB">
        <w:rPr>
          <w:rFonts w:cs="Arial"/>
          <w:b/>
          <w:bCs/>
          <w:i/>
          <w:sz w:val="17"/>
          <w:szCs w:val="17"/>
          <w:lang w:val="es-US"/>
        </w:rPr>
        <w:t xml:space="preserve">n en español, visite </w:t>
      </w:r>
      <w:hyperlink r:id="rId8" w:history="1">
        <w:r w:rsidRPr="008941DB">
          <w:rPr>
            <w:rFonts w:cs="Arial"/>
            <w:b/>
            <w:bCs/>
            <w:i/>
            <w:color w:val="0000FF"/>
            <w:sz w:val="17"/>
            <w:szCs w:val="17"/>
            <w:u w:val="single"/>
            <w:lang w:val="es-US"/>
          </w:rPr>
          <w:t>www.consumerfinance.gov/learnmore</w:t>
        </w:r>
      </w:hyperlink>
      <w:r w:rsidRPr="008941DB">
        <w:rPr>
          <w:rFonts w:cs="Arial"/>
          <w:b/>
          <w:bCs/>
          <w:i/>
          <w:sz w:val="17"/>
          <w:szCs w:val="17"/>
          <w:lang w:val="es-US"/>
        </w:rPr>
        <w:t xml:space="preserve"> o escrib</w:t>
      </w:r>
      <w:r w:rsidR="006534CA" w:rsidRPr="008941DB">
        <w:rPr>
          <w:rFonts w:cs="Arial"/>
          <w:b/>
          <w:bCs/>
          <w:i/>
          <w:sz w:val="17"/>
          <w:szCs w:val="17"/>
          <w:lang w:val="es-US"/>
        </w:rPr>
        <w:t xml:space="preserve">a </w:t>
      </w:r>
      <w:r w:rsidRPr="008941DB">
        <w:rPr>
          <w:rFonts w:cs="Arial"/>
          <w:b/>
          <w:bCs/>
          <w:i/>
          <w:sz w:val="17"/>
          <w:szCs w:val="17"/>
          <w:lang w:val="es-US"/>
        </w:rPr>
        <w:t xml:space="preserve">a la </w:t>
      </w:r>
      <w:r w:rsidR="009C074B" w:rsidRPr="009C074B">
        <w:rPr>
          <w:rFonts w:cs="Arial"/>
          <w:b/>
          <w:bCs/>
          <w:i/>
          <w:sz w:val="17"/>
          <w:szCs w:val="17"/>
          <w:lang w:val="es-US"/>
        </w:rPr>
        <w:t xml:space="preserve">Oficina de Protección Financiera del Consumidor </w:t>
      </w:r>
      <w:r w:rsidR="009C074B">
        <w:rPr>
          <w:rFonts w:cs="Arial"/>
          <w:b/>
          <w:bCs/>
          <w:i/>
          <w:sz w:val="17"/>
          <w:szCs w:val="17"/>
          <w:lang w:val="es-US"/>
        </w:rPr>
        <w:t>(</w:t>
      </w:r>
      <w:proofErr w:type="spellStart"/>
      <w:r w:rsidRPr="008941DB">
        <w:rPr>
          <w:rFonts w:cs="Arial"/>
          <w:b/>
          <w:bCs/>
          <w:i/>
          <w:sz w:val="17"/>
          <w:szCs w:val="17"/>
          <w:lang w:val="es-US"/>
        </w:rPr>
        <w:t>Consumer</w:t>
      </w:r>
      <w:proofErr w:type="spellEnd"/>
      <w:r w:rsidRPr="008941DB">
        <w:rPr>
          <w:rFonts w:cs="Arial"/>
          <w:b/>
          <w:bCs/>
          <w:i/>
          <w:sz w:val="17"/>
          <w:szCs w:val="17"/>
          <w:lang w:val="es-US"/>
        </w:rPr>
        <w:t xml:space="preserve"> </w:t>
      </w:r>
      <w:proofErr w:type="spellStart"/>
      <w:r w:rsidRPr="008941DB">
        <w:rPr>
          <w:rFonts w:cs="Arial"/>
          <w:b/>
          <w:bCs/>
          <w:i/>
          <w:sz w:val="17"/>
          <w:szCs w:val="17"/>
          <w:lang w:val="es-US"/>
        </w:rPr>
        <w:t>Financial</w:t>
      </w:r>
      <w:proofErr w:type="spellEnd"/>
      <w:r w:rsidRPr="008941DB">
        <w:rPr>
          <w:rFonts w:cs="Arial"/>
          <w:b/>
          <w:bCs/>
          <w:i/>
          <w:sz w:val="17"/>
          <w:szCs w:val="17"/>
          <w:lang w:val="es-US"/>
        </w:rPr>
        <w:t xml:space="preserve"> </w:t>
      </w:r>
      <w:proofErr w:type="spellStart"/>
      <w:r w:rsidRPr="008941DB">
        <w:rPr>
          <w:rFonts w:cs="Arial"/>
          <w:b/>
          <w:bCs/>
          <w:i/>
          <w:sz w:val="17"/>
          <w:szCs w:val="17"/>
          <w:lang w:val="es-US"/>
        </w:rPr>
        <w:t>Protection</w:t>
      </w:r>
      <w:proofErr w:type="spellEnd"/>
      <w:r w:rsidRPr="008941DB">
        <w:rPr>
          <w:rFonts w:cs="Arial"/>
          <w:b/>
          <w:bCs/>
          <w:i/>
          <w:sz w:val="17"/>
          <w:szCs w:val="17"/>
          <w:lang w:val="es-US"/>
        </w:rPr>
        <w:t xml:space="preserve"> Bureau</w:t>
      </w:r>
      <w:r w:rsidR="009C074B">
        <w:rPr>
          <w:rFonts w:cs="Arial"/>
          <w:b/>
          <w:bCs/>
          <w:i/>
          <w:sz w:val="17"/>
          <w:szCs w:val="17"/>
          <w:lang w:val="es-US"/>
        </w:rPr>
        <w:t>)</w:t>
      </w:r>
      <w:r w:rsidRPr="008941DB">
        <w:rPr>
          <w:rFonts w:cs="Arial"/>
          <w:b/>
          <w:bCs/>
          <w:i/>
          <w:sz w:val="17"/>
          <w:szCs w:val="17"/>
          <w:lang w:val="es-US"/>
        </w:rPr>
        <w:t>, 1700 G Street N.W., Washington, DC 20006.</w:t>
      </w:r>
    </w:p>
    <w:p w:rsidR="00F26A58" w:rsidRPr="008941DB" w:rsidRDefault="00F26A58">
      <w:pPr>
        <w:widowControl w:val="0"/>
        <w:jc w:val="center"/>
        <w:rPr>
          <w:rFonts w:cs="Arial"/>
          <w:b/>
          <w:bCs/>
          <w:smallCaps/>
          <w:sz w:val="17"/>
          <w:szCs w:val="17"/>
          <w:lang w:val="es-US"/>
        </w:rPr>
      </w:pPr>
    </w:p>
    <w:p w:rsidR="006534CA" w:rsidRPr="008941DB" w:rsidRDefault="006534CA">
      <w:pPr>
        <w:widowControl w:val="0"/>
        <w:jc w:val="center"/>
        <w:rPr>
          <w:rFonts w:cs="Arial"/>
          <w:b/>
          <w:bCs/>
          <w:smallCaps/>
          <w:sz w:val="17"/>
          <w:szCs w:val="17"/>
          <w:lang w:val="es-US"/>
        </w:rPr>
      </w:pPr>
      <w:r w:rsidRPr="008941DB">
        <w:rPr>
          <w:rFonts w:cs="Arial"/>
          <w:b/>
          <w:bCs/>
          <w:smallCaps/>
          <w:sz w:val="17"/>
          <w:szCs w:val="17"/>
          <w:lang w:val="es-US"/>
        </w:rPr>
        <w:t>Un resumen de sus derechos</w:t>
      </w:r>
    </w:p>
    <w:p w:rsidR="00F26A58" w:rsidRPr="008941DB" w:rsidRDefault="006534CA">
      <w:pPr>
        <w:widowControl w:val="0"/>
        <w:jc w:val="center"/>
        <w:rPr>
          <w:rFonts w:cs="Arial"/>
          <w:b/>
          <w:bCs/>
          <w:smallCaps/>
          <w:sz w:val="17"/>
          <w:szCs w:val="17"/>
          <w:lang w:val="es-US"/>
        </w:rPr>
      </w:pPr>
      <w:r w:rsidRPr="008941DB">
        <w:rPr>
          <w:rFonts w:cs="Arial"/>
          <w:b/>
          <w:bCs/>
          <w:smallCaps/>
          <w:sz w:val="17"/>
          <w:szCs w:val="17"/>
          <w:lang w:val="es-US"/>
        </w:rPr>
        <w:t>en virtud de la Ley de Garantía de Equidad Crediticia</w:t>
      </w:r>
    </w:p>
    <w:p w:rsidR="00F26A58" w:rsidRPr="008941DB" w:rsidRDefault="00F26A58">
      <w:pPr>
        <w:widowControl w:val="0"/>
        <w:rPr>
          <w:rFonts w:cs="Arial"/>
          <w:sz w:val="17"/>
          <w:szCs w:val="17"/>
          <w:lang w:val="es-US"/>
        </w:rPr>
      </w:pPr>
    </w:p>
    <w:p w:rsidR="00F26A58" w:rsidRPr="008941DB" w:rsidRDefault="006E1D83">
      <w:pPr>
        <w:widowControl w:val="0"/>
        <w:spacing w:after="240"/>
        <w:ind w:firstLine="720"/>
        <w:jc w:val="both"/>
        <w:rPr>
          <w:rFonts w:cs="Arial"/>
          <w:sz w:val="17"/>
          <w:szCs w:val="17"/>
          <w:lang w:val="es-US"/>
        </w:rPr>
      </w:pPr>
      <w:r w:rsidRPr="008941DB">
        <w:rPr>
          <w:rFonts w:cs="Arial"/>
          <w:sz w:val="17"/>
          <w:szCs w:val="17"/>
          <w:lang w:val="es-US"/>
        </w:rPr>
        <w:t>La Ley de Garantía de Equidad Crediticia (</w:t>
      </w:r>
      <w:r w:rsidRPr="006C4F0F">
        <w:rPr>
          <w:rFonts w:cs="Arial"/>
          <w:i/>
          <w:sz w:val="17"/>
          <w:szCs w:val="17"/>
          <w:lang w:val="es-US"/>
        </w:rPr>
        <w:t xml:space="preserve">Federal </w:t>
      </w:r>
      <w:proofErr w:type="spellStart"/>
      <w:r w:rsidRPr="006C4F0F">
        <w:rPr>
          <w:rFonts w:cs="Arial"/>
          <w:i/>
          <w:sz w:val="17"/>
          <w:szCs w:val="17"/>
          <w:lang w:val="es-US"/>
        </w:rPr>
        <w:t>Fair</w:t>
      </w:r>
      <w:proofErr w:type="spellEnd"/>
      <w:r w:rsidRPr="006C4F0F">
        <w:rPr>
          <w:rFonts w:cs="Arial"/>
          <w:i/>
          <w:sz w:val="17"/>
          <w:szCs w:val="17"/>
          <w:lang w:val="es-US"/>
        </w:rPr>
        <w:t xml:space="preserve"> </w:t>
      </w:r>
      <w:proofErr w:type="spellStart"/>
      <w:r w:rsidRPr="006C4F0F">
        <w:rPr>
          <w:rFonts w:cs="Arial"/>
          <w:i/>
          <w:sz w:val="17"/>
          <w:szCs w:val="17"/>
          <w:lang w:val="es-US"/>
        </w:rPr>
        <w:t>Credit</w:t>
      </w:r>
      <w:proofErr w:type="spellEnd"/>
      <w:r w:rsidRPr="006C4F0F">
        <w:rPr>
          <w:rFonts w:cs="Arial"/>
          <w:i/>
          <w:sz w:val="17"/>
          <w:szCs w:val="17"/>
          <w:lang w:val="es-US"/>
        </w:rPr>
        <w:t xml:space="preserve"> </w:t>
      </w:r>
      <w:proofErr w:type="spellStart"/>
      <w:r w:rsidRPr="006C4F0F">
        <w:rPr>
          <w:rFonts w:cs="Arial"/>
          <w:i/>
          <w:sz w:val="17"/>
          <w:szCs w:val="17"/>
          <w:lang w:val="es-US"/>
        </w:rPr>
        <w:t>Reporting</w:t>
      </w:r>
      <w:proofErr w:type="spellEnd"/>
      <w:r w:rsidRPr="006C4F0F">
        <w:rPr>
          <w:rFonts w:cs="Arial"/>
          <w:i/>
          <w:sz w:val="17"/>
          <w:szCs w:val="17"/>
          <w:lang w:val="es-US"/>
        </w:rPr>
        <w:t xml:space="preserve"> </w:t>
      </w:r>
      <w:proofErr w:type="spellStart"/>
      <w:r w:rsidRPr="006C4F0F">
        <w:rPr>
          <w:rFonts w:cs="Arial"/>
          <w:i/>
          <w:sz w:val="17"/>
          <w:szCs w:val="17"/>
          <w:lang w:val="es-US"/>
        </w:rPr>
        <w:t>Act</w:t>
      </w:r>
      <w:proofErr w:type="spellEnd"/>
      <w:r w:rsidRPr="008941DB">
        <w:rPr>
          <w:rFonts w:cs="Arial"/>
          <w:sz w:val="17"/>
          <w:szCs w:val="17"/>
          <w:lang w:val="es-US"/>
        </w:rPr>
        <w:t>, FCRA) promueve la exactitud, la justicia y la privacidad de la información en los archivos de las agenci</w:t>
      </w:r>
      <w:r w:rsidR="00172406">
        <w:rPr>
          <w:rFonts w:cs="Arial"/>
          <w:sz w:val="17"/>
          <w:szCs w:val="17"/>
          <w:lang w:val="es-US"/>
        </w:rPr>
        <w:t>as de informes del consumidor. Existen</w:t>
      </w:r>
      <w:r w:rsidRPr="008941DB">
        <w:rPr>
          <w:rFonts w:cs="Arial"/>
          <w:sz w:val="17"/>
          <w:szCs w:val="17"/>
          <w:lang w:val="es-US"/>
        </w:rPr>
        <w:t xml:space="preserve"> muchos tipos de agencias de informes del consumidor, incluyendo las agencias crediticias y las agencias especializadas (como agencias que venden información sobre historiales de emisión de cheques, registros médic</w:t>
      </w:r>
      <w:r w:rsidR="00172406">
        <w:rPr>
          <w:rFonts w:cs="Arial"/>
          <w:sz w:val="17"/>
          <w:szCs w:val="17"/>
          <w:lang w:val="es-US"/>
        </w:rPr>
        <w:t xml:space="preserve">os e historial de alquileres). </w:t>
      </w:r>
      <w:r w:rsidRPr="008941DB">
        <w:rPr>
          <w:rFonts w:cs="Arial"/>
          <w:sz w:val="17"/>
          <w:szCs w:val="17"/>
          <w:lang w:val="es-US"/>
        </w:rPr>
        <w:t xml:space="preserve">El siguiente es un resumen de sus principales derechos en virtud de la FCRA. </w:t>
      </w:r>
      <w:r w:rsidRPr="008941DB">
        <w:rPr>
          <w:rFonts w:cs="Arial"/>
          <w:b/>
          <w:sz w:val="17"/>
          <w:szCs w:val="17"/>
          <w:lang w:val="es-US"/>
        </w:rPr>
        <w:t>Para obtener más información, incluida la información sobre derechos adicionales, visite</w:t>
      </w:r>
      <w:r w:rsidR="00AA585F" w:rsidRPr="008941DB">
        <w:rPr>
          <w:rFonts w:cs="Arial"/>
          <w:b/>
          <w:sz w:val="17"/>
          <w:szCs w:val="17"/>
          <w:lang w:val="es-US"/>
        </w:rPr>
        <w:t xml:space="preserve"> </w:t>
      </w:r>
      <w:hyperlink r:id="rId9" w:history="1">
        <w:r w:rsidR="00AA585F" w:rsidRPr="008941DB">
          <w:rPr>
            <w:rFonts w:cs="Arial"/>
            <w:b/>
            <w:color w:val="0000FF"/>
            <w:sz w:val="17"/>
            <w:szCs w:val="17"/>
            <w:u w:val="single"/>
            <w:lang w:val="es-US"/>
          </w:rPr>
          <w:t>www.consumerfinance.gov/learnmore</w:t>
        </w:r>
      </w:hyperlink>
      <w:r w:rsidR="00AA585F" w:rsidRPr="008941DB">
        <w:rPr>
          <w:rFonts w:cs="Arial"/>
          <w:b/>
          <w:sz w:val="17"/>
          <w:szCs w:val="17"/>
          <w:lang w:val="es-US"/>
        </w:rPr>
        <w:t xml:space="preserve"> </w:t>
      </w:r>
      <w:r w:rsidRPr="008941DB">
        <w:rPr>
          <w:rFonts w:cs="Arial"/>
          <w:b/>
          <w:sz w:val="17"/>
          <w:szCs w:val="17"/>
          <w:lang w:val="es-US"/>
        </w:rPr>
        <w:t>o escriba a</w:t>
      </w:r>
      <w:r w:rsidR="00892DEB">
        <w:rPr>
          <w:rFonts w:cs="Arial"/>
          <w:b/>
          <w:sz w:val="17"/>
          <w:szCs w:val="17"/>
          <w:lang w:val="es-US"/>
        </w:rPr>
        <w:t xml:space="preserve">: </w:t>
      </w:r>
      <w:r w:rsidR="00956E38" w:rsidRPr="00956E38">
        <w:rPr>
          <w:rFonts w:cs="Arial"/>
          <w:b/>
          <w:sz w:val="17"/>
          <w:szCs w:val="17"/>
          <w:lang w:val="es-US"/>
        </w:rPr>
        <w:t>Oficina de Protección Financiera del Consumidor</w:t>
      </w:r>
      <w:r w:rsidR="00956E38">
        <w:rPr>
          <w:rFonts w:cs="Arial"/>
          <w:b/>
          <w:sz w:val="17"/>
          <w:szCs w:val="17"/>
          <w:lang w:val="es-US"/>
        </w:rPr>
        <w:t xml:space="preserve"> (</w:t>
      </w:r>
      <w:proofErr w:type="spellStart"/>
      <w:r w:rsidR="00AA585F" w:rsidRPr="00956E38">
        <w:rPr>
          <w:rFonts w:cs="Arial"/>
          <w:b/>
          <w:i/>
          <w:sz w:val="17"/>
          <w:szCs w:val="17"/>
          <w:lang w:val="es-US"/>
        </w:rPr>
        <w:t>Consumer</w:t>
      </w:r>
      <w:proofErr w:type="spellEnd"/>
      <w:r w:rsidR="00AA585F" w:rsidRPr="00956E38">
        <w:rPr>
          <w:rFonts w:cs="Arial"/>
          <w:b/>
          <w:i/>
          <w:sz w:val="17"/>
          <w:szCs w:val="17"/>
          <w:lang w:val="es-US"/>
        </w:rPr>
        <w:t xml:space="preserve"> </w:t>
      </w:r>
      <w:proofErr w:type="spellStart"/>
      <w:r w:rsidR="00AA585F" w:rsidRPr="00956E38">
        <w:rPr>
          <w:rFonts w:cs="Arial"/>
          <w:b/>
          <w:i/>
          <w:sz w:val="17"/>
          <w:szCs w:val="17"/>
          <w:lang w:val="es-US"/>
        </w:rPr>
        <w:t>Financial</w:t>
      </w:r>
      <w:proofErr w:type="spellEnd"/>
      <w:r w:rsidR="00AA585F" w:rsidRPr="00956E38">
        <w:rPr>
          <w:rFonts w:cs="Arial"/>
          <w:b/>
          <w:i/>
          <w:sz w:val="17"/>
          <w:szCs w:val="17"/>
          <w:lang w:val="es-US"/>
        </w:rPr>
        <w:t xml:space="preserve"> </w:t>
      </w:r>
      <w:proofErr w:type="spellStart"/>
      <w:r w:rsidR="00AA585F" w:rsidRPr="00956E38">
        <w:rPr>
          <w:rFonts w:cs="Arial"/>
          <w:b/>
          <w:i/>
          <w:sz w:val="17"/>
          <w:szCs w:val="17"/>
          <w:lang w:val="es-US"/>
        </w:rPr>
        <w:t>Protection</w:t>
      </w:r>
      <w:proofErr w:type="spellEnd"/>
      <w:r w:rsidR="00AA585F" w:rsidRPr="00956E38">
        <w:rPr>
          <w:rFonts w:cs="Arial"/>
          <w:b/>
          <w:i/>
          <w:sz w:val="17"/>
          <w:szCs w:val="17"/>
          <w:lang w:val="es-US"/>
        </w:rPr>
        <w:t xml:space="preserve"> Bureau</w:t>
      </w:r>
      <w:r w:rsidR="00956E38">
        <w:rPr>
          <w:rFonts w:cs="Arial"/>
          <w:b/>
          <w:sz w:val="17"/>
          <w:szCs w:val="17"/>
          <w:lang w:val="es-US"/>
        </w:rPr>
        <w:t>)</w:t>
      </w:r>
      <w:r w:rsidR="00AA585F" w:rsidRPr="008941DB">
        <w:rPr>
          <w:rFonts w:cs="Arial"/>
          <w:b/>
          <w:sz w:val="17"/>
          <w:szCs w:val="17"/>
          <w:lang w:val="es-US"/>
        </w:rPr>
        <w:t>, 1700 G. Street, N.W., Washington, D.C. 20006.</w:t>
      </w:r>
    </w:p>
    <w:p w:rsidR="00F26A58" w:rsidRPr="008941DB" w:rsidRDefault="001B5ACE">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w:t>
      </w:r>
      <w:r w:rsidRPr="008941DB">
        <w:rPr>
          <w:rFonts w:cs="Arial"/>
          <w:b/>
          <w:snapToGrid w:val="0"/>
          <w:color w:val="000000"/>
          <w:sz w:val="17"/>
          <w:szCs w:val="17"/>
          <w:lang w:val="es-US"/>
        </w:rPr>
        <w:tab/>
        <w:t>Se le debe informar si la información de su expediente se ha utilizado en su contra</w:t>
      </w:r>
      <w:r w:rsidR="00AA585F" w:rsidRPr="008941DB">
        <w:rPr>
          <w:rFonts w:cs="Arial"/>
          <w:b/>
          <w:snapToGrid w:val="0"/>
          <w:color w:val="000000"/>
          <w:sz w:val="17"/>
          <w:szCs w:val="17"/>
          <w:lang w:val="es-US"/>
        </w:rPr>
        <w:t>.</w:t>
      </w:r>
      <w:r w:rsidR="00430B46" w:rsidRPr="008941DB">
        <w:rPr>
          <w:rFonts w:cs="Arial"/>
          <w:snapToGrid w:val="0"/>
          <w:color w:val="000000"/>
          <w:sz w:val="17"/>
          <w:szCs w:val="17"/>
          <w:lang w:val="es-US"/>
        </w:rPr>
        <w:t xml:space="preserve"> Cualquier persona que utilice un informe de crédito u otro tipo de informe del consumidor para rechazar su solicitud de crédito, seguro o empleo – o para emprender otra medida adversa contra usted – debe informarle y debe darle el nombre, la dirección y el número de teléfono de la agencia que suministró la información</w:t>
      </w:r>
      <w:r w:rsidR="00AA585F" w:rsidRPr="008941DB">
        <w:rPr>
          <w:rFonts w:cs="Arial"/>
          <w:snapToGrid w:val="0"/>
          <w:color w:val="000000"/>
          <w:sz w:val="17"/>
          <w:szCs w:val="17"/>
          <w:lang w:val="es-US"/>
        </w:rPr>
        <w:t>.</w:t>
      </w:r>
    </w:p>
    <w:p w:rsidR="00F26A58" w:rsidRPr="008941DB" w:rsidRDefault="001B5ACE">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w:t>
      </w:r>
      <w:r w:rsidRPr="008941DB">
        <w:rPr>
          <w:rFonts w:cs="Arial"/>
          <w:b/>
          <w:snapToGrid w:val="0"/>
          <w:color w:val="000000"/>
          <w:sz w:val="17"/>
          <w:szCs w:val="17"/>
          <w:lang w:val="es-US"/>
        </w:rPr>
        <w:tab/>
        <w:t>Usted tiene el derecho a saber qué hay en su expediente</w:t>
      </w:r>
      <w:r w:rsidR="00AA585F" w:rsidRPr="008941DB">
        <w:rPr>
          <w:rFonts w:cs="Arial"/>
          <w:b/>
          <w:snapToGrid w:val="0"/>
          <w:color w:val="000000"/>
          <w:sz w:val="17"/>
          <w:szCs w:val="17"/>
          <w:lang w:val="es-US"/>
        </w:rPr>
        <w:t>.</w:t>
      </w:r>
      <w:r w:rsidR="00430B46" w:rsidRPr="008941DB">
        <w:rPr>
          <w:rFonts w:cs="Arial"/>
          <w:snapToGrid w:val="0"/>
          <w:color w:val="000000"/>
          <w:sz w:val="17"/>
          <w:szCs w:val="17"/>
          <w:lang w:val="es-US"/>
        </w:rPr>
        <w:t xml:space="preserve"> Puede solicitar y obtener toda la información acerca de usted en los archivos de una agencia de informes del consumidor (su “divulg</w:t>
      </w:r>
      <w:r w:rsidR="00172406">
        <w:rPr>
          <w:rFonts w:cs="Arial"/>
          <w:snapToGrid w:val="0"/>
          <w:color w:val="000000"/>
          <w:sz w:val="17"/>
          <w:szCs w:val="17"/>
          <w:lang w:val="es-US"/>
        </w:rPr>
        <w:t xml:space="preserve">ación de archivos”). </w:t>
      </w:r>
      <w:r w:rsidR="00430B46" w:rsidRPr="008941DB">
        <w:rPr>
          <w:rFonts w:cs="Arial"/>
          <w:snapToGrid w:val="0"/>
          <w:color w:val="000000"/>
          <w:sz w:val="17"/>
          <w:szCs w:val="17"/>
          <w:lang w:val="es-US"/>
        </w:rPr>
        <w:t>Usted tendrá que proporcionar la identificación debida, que puede incluir su número de Seguro Social. En muchos casos,</w:t>
      </w:r>
      <w:r w:rsidR="00172406">
        <w:rPr>
          <w:rFonts w:cs="Arial"/>
          <w:snapToGrid w:val="0"/>
          <w:color w:val="000000"/>
          <w:sz w:val="17"/>
          <w:szCs w:val="17"/>
          <w:lang w:val="es-US"/>
        </w:rPr>
        <w:t xml:space="preserve"> la divulgación será gratuita. </w:t>
      </w:r>
      <w:r w:rsidR="00430B46" w:rsidRPr="008941DB">
        <w:rPr>
          <w:rFonts w:cs="Arial"/>
          <w:snapToGrid w:val="0"/>
          <w:color w:val="000000"/>
          <w:sz w:val="17"/>
          <w:szCs w:val="17"/>
          <w:lang w:val="es-US"/>
        </w:rPr>
        <w:t>Usted tiene derecho a una divulgación gratuita si</w:t>
      </w:r>
      <w:r w:rsidR="00AA585F" w:rsidRPr="008941DB">
        <w:rPr>
          <w:rFonts w:cs="Arial"/>
          <w:snapToGrid w:val="0"/>
          <w:color w:val="000000"/>
          <w:sz w:val="17"/>
          <w:szCs w:val="17"/>
          <w:lang w:val="es-US"/>
        </w:rPr>
        <w:t>:</w:t>
      </w:r>
    </w:p>
    <w:p w:rsidR="00F26A58" w:rsidRPr="008941DB" w:rsidRDefault="00757524">
      <w:pPr>
        <w:widowControl w:val="0"/>
        <w:tabs>
          <w:tab w:val="num" w:pos="1440"/>
        </w:tabs>
        <w:spacing w:after="260"/>
        <w:ind w:left="1440" w:hanging="360"/>
        <w:jc w:val="both"/>
        <w:rPr>
          <w:rFonts w:cs="Arial"/>
          <w:snapToGrid w:val="0"/>
          <w:color w:val="000000"/>
          <w:sz w:val="17"/>
          <w:szCs w:val="17"/>
          <w:lang w:val="es-US"/>
        </w:rPr>
      </w:pPr>
      <w:proofErr w:type="gramStart"/>
      <w:r w:rsidRPr="008941DB">
        <w:rPr>
          <w:rFonts w:cs="Arial"/>
          <w:snapToGrid w:val="0"/>
          <w:color w:val="000000"/>
          <w:sz w:val="17"/>
          <w:szCs w:val="17"/>
          <w:lang w:val="es-US"/>
        </w:rPr>
        <w:t>una</w:t>
      </w:r>
      <w:proofErr w:type="gramEnd"/>
      <w:r w:rsidRPr="008941DB">
        <w:rPr>
          <w:rFonts w:cs="Arial"/>
          <w:snapToGrid w:val="0"/>
          <w:color w:val="000000"/>
          <w:sz w:val="17"/>
          <w:szCs w:val="17"/>
          <w:lang w:val="es-US"/>
        </w:rPr>
        <w:t xml:space="preserve"> persona ha emprendido una medida adversa contra usted debido a la información en su informe de crédito</w:t>
      </w:r>
      <w:r w:rsidR="00BA6DA3">
        <w:rPr>
          <w:rFonts w:cs="Arial"/>
          <w:snapToGrid w:val="0"/>
          <w:color w:val="000000"/>
          <w:sz w:val="17"/>
          <w:szCs w:val="17"/>
          <w:lang w:val="es-US"/>
        </w:rPr>
        <w:t>,</w:t>
      </w:r>
    </w:p>
    <w:p w:rsidR="00F26A58" w:rsidRPr="008941DB" w:rsidRDefault="00757524">
      <w:pPr>
        <w:widowControl w:val="0"/>
        <w:tabs>
          <w:tab w:val="num" w:pos="1440"/>
        </w:tabs>
        <w:spacing w:after="260"/>
        <w:ind w:left="1440" w:hanging="360"/>
        <w:jc w:val="both"/>
        <w:rPr>
          <w:rFonts w:cs="Arial"/>
          <w:snapToGrid w:val="0"/>
          <w:color w:val="000000"/>
          <w:sz w:val="17"/>
          <w:szCs w:val="17"/>
          <w:lang w:val="es-US"/>
        </w:rPr>
      </w:pPr>
      <w:proofErr w:type="gramStart"/>
      <w:r w:rsidRPr="008941DB">
        <w:rPr>
          <w:rFonts w:cs="Arial"/>
          <w:snapToGrid w:val="0"/>
          <w:color w:val="000000"/>
          <w:sz w:val="17"/>
          <w:szCs w:val="17"/>
          <w:lang w:val="es-US"/>
        </w:rPr>
        <w:t>usted</w:t>
      </w:r>
      <w:proofErr w:type="gramEnd"/>
      <w:r w:rsidRPr="008941DB">
        <w:rPr>
          <w:rFonts w:cs="Arial"/>
          <w:snapToGrid w:val="0"/>
          <w:color w:val="000000"/>
          <w:sz w:val="17"/>
          <w:szCs w:val="17"/>
          <w:lang w:val="es-US"/>
        </w:rPr>
        <w:t xml:space="preserve"> ha sido víctima de robo de identidad y </w:t>
      </w:r>
      <w:r w:rsidR="00BD6337">
        <w:rPr>
          <w:rFonts w:cs="Arial"/>
          <w:snapToGrid w:val="0"/>
          <w:color w:val="000000"/>
          <w:sz w:val="17"/>
          <w:szCs w:val="17"/>
          <w:lang w:val="es-US"/>
        </w:rPr>
        <w:t>pone</w:t>
      </w:r>
      <w:r w:rsidRPr="008941DB">
        <w:rPr>
          <w:rFonts w:cs="Arial"/>
          <w:snapToGrid w:val="0"/>
          <w:color w:val="000000"/>
          <w:sz w:val="17"/>
          <w:szCs w:val="17"/>
          <w:lang w:val="es-US"/>
        </w:rPr>
        <w:t xml:space="preserve"> una alerta de fraude en su expediente</w:t>
      </w:r>
      <w:r w:rsidR="00BA6DA3">
        <w:rPr>
          <w:rFonts w:cs="Arial"/>
          <w:snapToGrid w:val="0"/>
          <w:color w:val="000000"/>
          <w:sz w:val="17"/>
          <w:szCs w:val="17"/>
          <w:lang w:val="es-US"/>
        </w:rPr>
        <w:t>,</w:t>
      </w:r>
    </w:p>
    <w:p w:rsidR="00F26A58" w:rsidRPr="008941DB" w:rsidRDefault="00757524">
      <w:pPr>
        <w:widowControl w:val="0"/>
        <w:tabs>
          <w:tab w:val="num" w:pos="1440"/>
        </w:tabs>
        <w:spacing w:after="260"/>
        <w:ind w:left="1440" w:hanging="360"/>
        <w:jc w:val="both"/>
        <w:rPr>
          <w:rFonts w:cs="Arial"/>
          <w:snapToGrid w:val="0"/>
          <w:color w:val="000000"/>
          <w:sz w:val="17"/>
          <w:szCs w:val="17"/>
          <w:lang w:val="es-US"/>
        </w:rPr>
      </w:pPr>
      <w:proofErr w:type="gramStart"/>
      <w:r w:rsidRPr="008941DB">
        <w:rPr>
          <w:rFonts w:cs="Arial"/>
          <w:snapToGrid w:val="0"/>
          <w:color w:val="000000"/>
          <w:sz w:val="17"/>
          <w:szCs w:val="17"/>
          <w:lang w:val="es-US"/>
        </w:rPr>
        <w:t>su</w:t>
      </w:r>
      <w:proofErr w:type="gramEnd"/>
      <w:r w:rsidRPr="008941DB">
        <w:rPr>
          <w:rFonts w:cs="Arial"/>
          <w:snapToGrid w:val="0"/>
          <w:color w:val="000000"/>
          <w:sz w:val="17"/>
          <w:szCs w:val="17"/>
          <w:lang w:val="es-US"/>
        </w:rPr>
        <w:t xml:space="preserve"> expediente contiene información inexacta como resultado de fraude</w:t>
      </w:r>
      <w:r w:rsidR="00BA6DA3">
        <w:rPr>
          <w:rFonts w:cs="Arial"/>
          <w:snapToGrid w:val="0"/>
          <w:color w:val="000000"/>
          <w:sz w:val="17"/>
          <w:szCs w:val="17"/>
          <w:lang w:val="es-US"/>
        </w:rPr>
        <w:t>,</w:t>
      </w:r>
    </w:p>
    <w:p w:rsidR="00F26A58" w:rsidRPr="008941DB" w:rsidRDefault="00757524">
      <w:pPr>
        <w:widowControl w:val="0"/>
        <w:tabs>
          <w:tab w:val="num" w:pos="1440"/>
        </w:tabs>
        <w:spacing w:after="260"/>
        <w:ind w:left="1440" w:hanging="360"/>
        <w:jc w:val="both"/>
        <w:rPr>
          <w:rFonts w:cs="Arial"/>
          <w:snapToGrid w:val="0"/>
          <w:color w:val="000000"/>
          <w:sz w:val="17"/>
          <w:szCs w:val="17"/>
          <w:lang w:val="es-US"/>
        </w:rPr>
      </w:pPr>
      <w:proofErr w:type="gramStart"/>
      <w:r w:rsidRPr="008941DB">
        <w:rPr>
          <w:rFonts w:cs="Arial"/>
          <w:snapToGrid w:val="0"/>
          <w:color w:val="000000"/>
          <w:sz w:val="17"/>
          <w:szCs w:val="17"/>
          <w:lang w:val="es-US"/>
        </w:rPr>
        <w:t>usted</w:t>
      </w:r>
      <w:proofErr w:type="gramEnd"/>
      <w:r w:rsidRPr="008941DB">
        <w:rPr>
          <w:rFonts w:cs="Arial"/>
          <w:snapToGrid w:val="0"/>
          <w:color w:val="000000"/>
          <w:sz w:val="17"/>
          <w:szCs w:val="17"/>
          <w:lang w:val="es-US"/>
        </w:rPr>
        <w:t xml:space="preserve"> recibe asistencia pública</w:t>
      </w:r>
      <w:r w:rsidR="00BA6DA3">
        <w:rPr>
          <w:rFonts w:cs="Arial"/>
          <w:snapToGrid w:val="0"/>
          <w:color w:val="000000"/>
          <w:sz w:val="17"/>
          <w:szCs w:val="17"/>
          <w:lang w:val="es-US"/>
        </w:rPr>
        <w:t>,</w:t>
      </w:r>
    </w:p>
    <w:p w:rsidR="00F26A58" w:rsidRPr="008941DB" w:rsidRDefault="00757524">
      <w:pPr>
        <w:widowControl w:val="0"/>
        <w:tabs>
          <w:tab w:val="num" w:pos="1440"/>
        </w:tabs>
        <w:spacing w:after="260"/>
        <w:ind w:left="1440" w:hanging="360"/>
        <w:jc w:val="both"/>
        <w:rPr>
          <w:rFonts w:cs="Arial"/>
          <w:snapToGrid w:val="0"/>
          <w:color w:val="000000"/>
          <w:sz w:val="17"/>
          <w:szCs w:val="17"/>
          <w:lang w:val="es-US"/>
        </w:rPr>
      </w:pPr>
      <w:r w:rsidRPr="008941DB">
        <w:rPr>
          <w:rFonts w:cs="Arial"/>
          <w:snapToGrid w:val="0"/>
          <w:color w:val="000000"/>
          <w:sz w:val="17"/>
          <w:szCs w:val="17"/>
          <w:lang w:val="es-US"/>
        </w:rPr>
        <w:t>está desempleado, pero prevé solicitar empleo en un plazo de 60 días</w:t>
      </w:r>
      <w:r w:rsidR="00AA585F" w:rsidRPr="008941DB">
        <w:rPr>
          <w:rFonts w:cs="Arial"/>
          <w:snapToGrid w:val="0"/>
          <w:color w:val="000000"/>
          <w:sz w:val="17"/>
          <w:szCs w:val="17"/>
          <w:lang w:val="es-US"/>
        </w:rPr>
        <w:t>.</w:t>
      </w:r>
    </w:p>
    <w:p w:rsidR="00F26A58" w:rsidRPr="008941DB" w:rsidRDefault="00F56981">
      <w:pPr>
        <w:widowControl w:val="0"/>
        <w:spacing w:after="260"/>
        <w:ind w:left="1080"/>
        <w:jc w:val="both"/>
        <w:rPr>
          <w:rFonts w:cs="Arial"/>
          <w:snapToGrid w:val="0"/>
          <w:color w:val="000000"/>
          <w:sz w:val="17"/>
          <w:szCs w:val="17"/>
          <w:lang w:val="es-US"/>
        </w:rPr>
      </w:pPr>
      <w:r w:rsidRPr="008941DB">
        <w:rPr>
          <w:rFonts w:cs="Arial"/>
          <w:snapToGrid w:val="0"/>
          <w:color w:val="000000"/>
          <w:sz w:val="17"/>
          <w:szCs w:val="17"/>
          <w:lang w:val="es-US"/>
        </w:rPr>
        <w:t>Además, todos los consumidores tienen derecho a una divulgación gratuita cada 12 meses si así lo solicitan a cada agencia de crédito nacional y de las agencias nacionales especializadas de informes del consumidor. Consulte</w:t>
      </w:r>
      <w:r w:rsidR="00AA585F" w:rsidRPr="008941DB">
        <w:rPr>
          <w:rFonts w:cs="Arial"/>
          <w:snapToGrid w:val="0"/>
          <w:color w:val="000000"/>
          <w:sz w:val="17"/>
          <w:szCs w:val="17"/>
          <w:lang w:val="es-US"/>
        </w:rPr>
        <w:t xml:space="preserve"> </w:t>
      </w:r>
      <w:hyperlink r:id="rId10" w:history="1">
        <w:r w:rsidR="00AA585F" w:rsidRPr="008941DB">
          <w:rPr>
            <w:rFonts w:cs="Arial"/>
            <w:snapToGrid w:val="0"/>
            <w:color w:val="0000FF"/>
            <w:sz w:val="17"/>
            <w:szCs w:val="17"/>
            <w:u w:val="single"/>
            <w:lang w:val="es-US"/>
          </w:rPr>
          <w:t>www.consumerfinance.gov/learnmore</w:t>
        </w:r>
      </w:hyperlink>
      <w:r w:rsidR="00AA585F" w:rsidRPr="008941DB">
        <w:rPr>
          <w:rFonts w:cs="Arial"/>
          <w:snapToGrid w:val="0"/>
          <w:color w:val="000000"/>
          <w:sz w:val="17"/>
          <w:szCs w:val="17"/>
          <w:lang w:val="es-US"/>
        </w:rPr>
        <w:t xml:space="preserve"> </w:t>
      </w:r>
      <w:r w:rsidRPr="008941DB">
        <w:rPr>
          <w:rFonts w:cs="Arial"/>
          <w:snapToGrid w:val="0"/>
          <w:color w:val="000000"/>
          <w:sz w:val="17"/>
          <w:szCs w:val="17"/>
          <w:lang w:val="es-US"/>
        </w:rPr>
        <w:t>para obtener más información</w:t>
      </w:r>
      <w:r w:rsidR="00AA585F" w:rsidRPr="008941DB">
        <w:rPr>
          <w:rFonts w:cs="Arial"/>
          <w:snapToGrid w:val="0"/>
          <w:color w:val="000000"/>
          <w:sz w:val="17"/>
          <w:szCs w:val="17"/>
          <w:lang w:val="es-US"/>
        </w:rPr>
        <w:t>.</w:t>
      </w:r>
    </w:p>
    <w:p w:rsidR="00F26A58" w:rsidRPr="008941DB" w:rsidRDefault="00803D21">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 xml:space="preserve">Usted tiene derecho a pedir </w:t>
      </w:r>
      <w:r w:rsidR="00123E11">
        <w:rPr>
          <w:rFonts w:cs="Arial"/>
          <w:b/>
          <w:snapToGrid w:val="0"/>
          <w:color w:val="000000"/>
          <w:sz w:val="17"/>
          <w:szCs w:val="17"/>
          <w:lang w:val="es-US"/>
        </w:rPr>
        <w:t>un</w:t>
      </w:r>
      <w:r w:rsidRPr="008941DB">
        <w:rPr>
          <w:rFonts w:cs="Arial"/>
          <w:b/>
          <w:snapToGrid w:val="0"/>
          <w:color w:val="000000"/>
          <w:sz w:val="17"/>
          <w:szCs w:val="17"/>
          <w:lang w:val="es-US"/>
        </w:rPr>
        <w:t xml:space="preserve"> punt</w:t>
      </w:r>
      <w:r w:rsidR="00123E11">
        <w:rPr>
          <w:rFonts w:cs="Arial"/>
          <w:b/>
          <w:snapToGrid w:val="0"/>
          <w:color w:val="000000"/>
          <w:sz w:val="17"/>
          <w:szCs w:val="17"/>
          <w:lang w:val="es-US"/>
        </w:rPr>
        <w:t>aje</w:t>
      </w:r>
      <w:r w:rsidRPr="008941DB">
        <w:rPr>
          <w:rFonts w:cs="Arial"/>
          <w:b/>
          <w:snapToGrid w:val="0"/>
          <w:color w:val="000000"/>
          <w:sz w:val="17"/>
          <w:szCs w:val="17"/>
          <w:lang w:val="es-US"/>
        </w:rPr>
        <w:t xml:space="preserve"> de crédito</w:t>
      </w:r>
      <w:r w:rsidR="00AA585F" w:rsidRPr="008941DB">
        <w:rPr>
          <w:rFonts w:cs="Arial"/>
          <w:b/>
          <w:snapToGrid w:val="0"/>
          <w:color w:val="000000"/>
          <w:sz w:val="17"/>
          <w:szCs w:val="17"/>
          <w:lang w:val="es-US"/>
        </w:rPr>
        <w:t>.</w:t>
      </w:r>
      <w:r w:rsidR="00172406">
        <w:rPr>
          <w:rFonts w:cs="Arial"/>
          <w:snapToGrid w:val="0"/>
          <w:color w:val="000000"/>
          <w:sz w:val="17"/>
          <w:szCs w:val="17"/>
          <w:lang w:val="es-US"/>
        </w:rPr>
        <w:t xml:space="preserve"> </w:t>
      </w:r>
      <w:r w:rsidR="00123E11">
        <w:rPr>
          <w:rFonts w:cs="Arial"/>
          <w:snapToGrid w:val="0"/>
          <w:color w:val="000000"/>
          <w:sz w:val="17"/>
          <w:szCs w:val="17"/>
          <w:lang w:val="es-US"/>
        </w:rPr>
        <w:t>Los puntajes</w:t>
      </w:r>
      <w:r w:rsidR="00766C83" w:rsidRPr="008941DB">
        <w:rPr>
          <w:rFonts w:cs="Arial"/>
          <w:snapToGrid w:val="0"/>
          <w:color w:val="000000"/>
          <w:sz w:val="17"/>
          <w:szCs w:val="17"/>
          <w:lang w:val="es-US"/>
        </w:rPr>
        <w:t xml:space="preserve"> de crédito son resúmenes numéricos de su valía de crédito basados en información de las agencias de crédito. Usted puede soli</w:t>
      </w:r>
      <w:r w:rsidR="00123E11">
        <w:rPr>
          <w:rFonts w:cs="Arial"/>
          <w:snapToGrid w:val="0"/>
          <w:color w:val="000000"/>
          <w:sz w:val="17"/>
          <w:szCs w:val="17"/>
          <w:lang w:val="es-US"/>
        </w:rPr>
        <w:t>citar un</w:t>
      </w:r>
      <w:r w:rsidR="00766C83" w:rsidRPr="008941DB">
        <w:rPr>
          <w:rFonts w:cs="Arial"/>
          <w:snapToGrid w:val="0"/>
          <w:color w:val="000000"/>
          <w:sz w:val="17"/>
          <w:szCs w:val="17"/>
          <w:lang w:val="es-US"/>
        </w:rPr>
        <w:t xml:space="preserve"> punt</w:t>
      </w:r>
      <w:r w:rsidR="00123E11">
        <w:rPr>
          <w:rFonts w:cs="Arial"/>
          <w:snapToGrid w:val="0"/>
          <w:color w:val="000000"/>
          <w:sz w:val="17"/>
          <w:szCs w:val="17"/>
          <w:lang w:val="es-US"/>
        </w:rPr>
        <w:t>aje</w:t>
      </w:r>
      <w:r w:rsidR="00766C83" w:rsidRPr="008941DB">
        <w:rPr>
          <w:rFonts w:cs="Arial"/>
          <w:snapToGrid w:val="0"/>
          <w:color w:val="000000"/>
          <w:sz w:val="17"/>
          <w:szCs w:val="17"/>
          <w:lang w:val="es-US"/>
        </w:rPr>
        <w:t xml:space="preserve"> de crédito de agencias de informes del consu</w:t>
      </w:r>
      <w:r w:rsidR="00123E11">
        <w:rPr>
          <w:rFonts w:cs="Arial"/>
          <w:snapToGrid w:val="0"/>
          <w:color w:val="000000"/>
          <w:sz w:val="17"/>
          <w:szCs w:val="17"/>
          <w:lang w:val="es-US"/>
        </w:rPr>
        <w:t>midor que creen o distribuyan lo</w:t>
      </w:r>
      <w:r w:rsidR="00766C83" w:rsidRPr="008941DB">
        <w:rPr>
          <w:rFonts w:cs="Arial"/>
          <w:snapToGrid w:val="0"/>
          <w:color w:val="000000"/>
          <w:sz w:val="17"/>
          <w:szCs w:val="17"/>
          <w:lang w:val="es-US"/>
        </w:rPr>
        <w:t>s punt</w:t>
      </w:r>
      <w:r w:rsidR="00123E11">
        <w:rPr>
          <w:rFonts w:cs="Arial"/>
          <w:snapToGrid w:val="0"/>
          <w:color w:val="000000"/>
          <w:sz w:val="17"/>
          <w:szCs w:val="17"/>
          <w:lang w:val="es-US"/>
        </w:rPr>
        <w:t xml:space="preserve">ajes </w:t>
      </w:r>
      <w:r w:rsidR="00766C83" w:rsidRPr="008941DB">
        <w:rPr>
          <w:rFonts w:cs="Arial"/>
          <w:snapToGrid w:val="0"/>
          <w:color w:val="000000"/>
          <w:sz w:val="17"/>
          <w:szCs w:val="17"/>
          <w:lang w:val="es-US"/>
        </w:rPr>
        <w:t>utilizad</w:t>
      </w:r>
      <w:r w:rsidR="00123E11">
        <w:rPr>
          <w:rFonts w:cs="Arial"/>
          <w:snapToGrid w:val="0"/>
          <w:color w:val="000000"/>
          <w:sz w:val="17"/>
          <w:szCs w:val="17"/>
          <w:lang w:val="es-US"/>
        </w:rPr>
        <w:t>o</w:t>
      </w:r>
      <w:r w:rsidR="00766C83" w:rsidRPr="008941DB">
        <w:rPr>
          <w:rFonts w:cs="Arial"/>
          <w:snapToGrid w:val="0"/>
          <w:color w:val="000000"/>
          <w:sz w:val="17"/>
          <w:szCs w:val="17"/>
          <w:lang w:val="es-US"/>
        </w:rPr>
        <w:t>s en préstamos de bienes raíces residenciales, pero tendrá que pagar por ello. En algunas transacciones hipotecarias, recibirá información de punt</w:t>
      </w:r>
      <w:r w:rsidR="00123E11">
        <w:rPr>
          <w:rFonts w:cs="Arial"/>
          <w:snapToGrid w:val="0"/>
          <w:color w:val="000000"/>
          <w:sz w:val="17"/>
          <w:szCs w:val="17"/>
          <w:lang w:val="es-US"/>
        </w:rPr>
        <w:t>aje</w:t>
      </w:r>
      <w:r w:rsidR="00766C83" w:rsidRPr="008941DB">
        <w:rPr>
          <w:rFonts w:cs="Arial"/>
          <w:snapToGrid w:val="0"/>
          <w:color w:val="000000"/>
          <w:sz w:val="17"/>
          <w:szCs w:val="17"/>
          <w:lang w:val="es-US"/>
        </w:rPr>
        <w:t xml:space="preserve"> de crédito de forma gratuita del prestamista hipotecario</w:t>
      </w:r>
      <w:r w:rsidR="00AA585F" w:rsidRPr="008941DB">
        <w:rPr>
          <w:rFonts w:cs="Arial"/>
          <w:snapToGrid w:val="0"/>
          <w:color w:val="000000"/>
          <w:sz w:val="17"/>
          <w:szCs w:val="17"/>
          <w:lang w:val="es-US"/>
        </w:rPr>
        <w:t>.</w:t>
      </w:r>
    </w:p>
    <w:p w:rsidR="00F26A58" w:rsidRPr="008941DB" w:rsidRDefault="00803D21">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Usted tiene el derecho de cuestionar la información incompleta o inexacta</w:t>
      </w:r>
      <w:r w:rsidR="00AA585F" w:rsidRPr="008941DB">
        <w:rPr>
          <w:rFonts w:cs="Arial"/>
          <w:b/>
          <w:snapToGrid w:val="0"/>
          <w:color w:val="000000"/>
          <w:sz w:val="17"/>
          <w:szCs w:val="17"/>
          <w:lang w:val="es-US"/>
        </w:rPr>
        <w:t>.</w:t>
      </w:r>
      <w:r w:rsidR="00172406">
        <w:rPr>
          <w:rFonts w:cs="Arial"/>
          <w:snapToGrid w:val="0"/>
          <w:color w:val="000000"/>
          <w:sz w:val="17"/>
          <w:szCs w:val="17"/>
          <w:lang w:val="es-US"/>
        </w:rPr>
        <w:t xml:space="preserve"> </w:t>
      </w:r>
      <w:r w:rsidR="00766C83" w:rsidRPr="008941DB">
        <w:rPr>
          <w:rFonts w:cs="Arial"/>
          <w:snapToGrid w:val="0"/>
          <w:color w:val="000000"/>
          <w:sz w:val="17"/>
          <w:szCs w:val="17"/>
          <w:lang w:val="es-US"/>
        </w:rPr>
        <w:t>Si identifica información en su expediente que esté incompleta o sea inexacta, y las comunica a la agencia de informes del consumidor, la agencia debe investigar a menos que su confrontación sea frívola. Consulte</w:t>
      </w:r>
      <w:r w:rsidR="00AA585F" w:rsidRPr="008941DB">
        <w:rPr>
          <w:rFonts w:cs="Arial"/>
          <w:snapToGrid w:val="0"/>
          <w:color w:val="000000"/>
          <w:sz w:val="17"/>
          <w:szCs w:val="17"/>
          <w:lang w:val="es-US"/>
        </w:rPr>
        <w:t xml:space="preserve"> </w:t>
      </w:r>
      <w:hyperlink r:id="rId11" w:history="1">
        <w:r w:rsidR="00AA585F" w:rsidRPr="008941DB">
          <w:rPr>
            <w:rFonts w:cs="Arial"/>
            <w:snapToGrid w:val="0"/>
            <w:color w:val="0000FF"/>
            <w:sz w:val="17"/>
            <w:szCs w:val="17"/>
            <w:u w:val="single"/>
            <w:lang w:val="es-US"/>
          </w:rPr>
          <w:t>www.consumerfinance.gov/learnmore</w:t>
        </w:r>
      </w:hyperlink>
      <w:r w:rsidR="00AA585F" w:rsidRPr="008941DB">
        <w:rPr>
          <w:rFonts w:cs="Arial"/>
          <w:snapToGrid w:val="0"/>
          <w:color w:val="000000"/>
          <w:sz w:val="17"/>
          <w:szCs w:val="17"/>
          <w:lang w:val="es-US"/>
        </w:rPr>
        <w:t xml:space="preserve"> </w:t>
      </w:r>
      <w:r w:rsidR="00766C83" w:rsidRPr="008941DB">
        <w:rPr>
          <w:rFonts w:cs="Arial"/>
          <w:snapToGrid w:val="0"/>
          <w:color w:val="000000"/>
          <w:sz w:val="17"/>
          <w:szCs w:val="17"/>
          <w:lang w:val="es-US"/>
        </w:rPr>
        <w:t>para obtener una explicación de los procedimientos de conflicto</w:t>
      </w:r>
      <w:r w:rsidR="00AA585F" w:rsidRPr="008941DB">
        <w:rPr>
          <w:rFonts w:cs="Arial"/>
          <w:snapToGrid w:val="0"/>
          <w:color w:val="000000"/>
          <w:sz w:val="17"/>
          <w:szCs w:val="17"/>
          <w:lang w:val="es-US"/>
        </w:rPr>
        <w:t>.</w:t>
      </w:r>
    </w:p>
    <w:p w:rsidR="00F26A58" w:rsidRPr="008941DB" w:rsidRDefault="00803D21">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Las agencias de informes del consumidor deben corregir o eliminar la información inexacta, incompleta o no verificable</w:t>
      </w:r>
      <w:r w:rsidR="00AA585F" w:rsidRPr="008941DB">
        <w:rPr>
          <w:rFonts w:cs="Arial"/>
          <w:b/>
          <w:snapToGrid w:val="0"/>
          <w:color w:val="000000"/>
          <w:sz w:val="17"/>
          <w:szCs w:val="17"/>
          <w:lang w:val="es-US"/>
        </w:rPr>
        <w:t>.</w:t>
      </w:r>
      <w:r w:rsidR="00172406">
        <w:rPr>
          <w:rFonts w:cs="Arial"/>
          <w:snapToGrid w:val="0"/>
          <w:color w:val="000000"/>
          <w:sz w:val="17"/>
          <w:szCs w:val="17"/>
          <w:lang w:val="es-US"/>
        </w:rPr>
        <w:t xml:space="preserve"> </w:t>
      </w:r>
      <w:r w:rsidR="00766C83" w:rsidRPr="008941DB">
        <w:rPr>
          <w:rFonts w:cs="Arial"/>
          <w:snapToGrid w:val="0"/>
          <w:color w:val="000000"/>
          <w:sz w:val="17"/>
          <w:szCs w:val="17"/>
          <w:lang w:val="es-US"/>
        </w:rPr>
        <w:t>La información inexacta, incompleta o no verificable debe ser eliminada o corregida, genera</w:t>
      </w:r>
      <w:r w:rsidR="00172406">
        <w:rPr>
          <w:rFonts w:cs="Arial"/>
          <w:snapToGrid w:val="0"/>
          <w:color w:val="000000"/>
          <w:sz w:val="17"/>
          <w:szCs w:val="17"/>
          <w:lang w:val="es-US"/>
        </w:rPr>
        <w:t xml:space="preserve">lmente en un plazo de 30 días. </w:t>
      </w:r>
      <w:r w:rsidR="00766C83" w:rsidRPr="008941DB">
        <w:rPr>
          <w:rFonts w:cs="Arial"/>
          <w:snapToGrid w:val="0"/>
          <w:color w:val="000000"/>
          <w:sz w:val="17"/>
          <w:szCs w:val="17"/>
          <w:lang w:val="es-US"/>
        </w:rPr>
        <w:t>Sin embargo, una agencia de informe del consumidor puede seguir comunicando información si ha verificado su exactitud</w:t>
      </w:r>
      <w:r w:rsidR="00AA585F" w:rsidRPr="008941DB">
        <w:rPr>
          <w:rFonts w:cs="Arial"/>
          <w:snapToGrid w:val="0"/>
          <w:color w:val="000000"/>
          <w:sz w:val="17"/>
          <w:szCs w:val="17"/>
          <w:lang w:val="es-US"/>
        </w:rPr>
        <w:t>.</w:t>
      </w:r>
    </w:p>
    <w:p w:rsidR="00F26A58" w:rsidRPr="008941DB" w:rsidRDefault="00B040EA">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Las agencias de informes del consumidor no pueden comunicar información negativa desactualizada</w:t>
      </w:r>
      <w:r w:rsidR="00AA585F" w:rsidRPr="008941DB">
        <w:rPr>
          <w:rFonts w:cs="Arial"/>
          <w:b/>
          <w:snapToGrid w:val="0"/>
          <w:color w:val="000000"/>
          <w:sz w:val="17"/>
          <w:szCs w:val="17"/>
          <w:lang w:val="es-US"/>
        </w:rPr>
        <w:t>.</w:t>
      </w:r>
      <w:r w:rsidR="00172406">
        <w:rPr>
          <w:rFonts w:cs="Arial"/>
          <w:snapToGrid w:val="0"/>
          <w:color w:val="000000"/>
          <w:sz w:val="17"/>
          <w:szCs w:val="17"/>
          <w:lang w:val="es-US"/>
        </w:rPr>
        <w:t xml:space="preserve"> </w:t>
      </w:r>
      <w:r w:rsidR="00124C84" w:rsidRPr="008941DB">
        <w:rPr>
          <w:rFonts w:cs="Arial"/>
          <w:snapToGrid w:val="0"/>
          <w:color w:val="000000"/>
          <w:sz w:val="17"/>
          <w:szCs w:val="17"/>
          <w:lang w:val="es-US"/>
        </w:rPr>
        <w:t>En la mayoría de los casos, una agencia de informes del consumidor no puede comunicar información negativa que tenga más de siete años ni quiebras ocurridas hace más de 10 años</w:t>
      </w:r>
      <w:r w:rsidR="00AA585F" w:rsidRPr="008941DB">
        <w:rPr>
          <w:rFonts w:cs="Arial"/>
          <w:snapToGrid w:val="0"/>
          <w:color w:val="000000"/>
          <w:sz w:val="17"/>
          <w:szCs w:val="17"/>
          <w:lang w:val="es-US"/>
        </w:rPr>
        <w:t>.</w:t>
      </w:r>
    </w:p>
    <w:p w:rsidR="00F26A58" w:rsidRPr="008941DB" w:rsidRDefault="00B040EA">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El acceso a su expediente es limitado</w:t>
      </w:r>
      <w:r w:rsidR="00AA585F" w:rsidRPr="008941DB">
        <w:rPr>
          <w:rFonts w:cs="Arial"/>
          <w:b/>
          <w:snapToGrid w:val="0"/>
          <w:color w:val="000000"/>
          <w:sz w:val="17"/>
          <w:szCs w:val="17"/>
          <w:lang w:val="es-US"/>
        </w:rPr>
        <w:t>.</w:t>
      </w:r>
      <w:r w:rsidR="00AA585F" w:rsidRPr="008941DB">
        <w:rPr>
          <w:rFonts w:cs="Arial"/>
          <w:snapToGrid w:val="0"/>
          <w:color w:val="000000"/>
          <w:sz w:val="17"/>
          <w:szCs w:val="17"/>
          <w:lang w:val="es-US"/>
        </w:rPr>
        <w:t xml:space="preserve"> </w:t>
      </w:r>
      <w:r w:rsidR="00124C84" w:rsidRPr="008941DB">
        <w:rPr>
          <w:rFonts w:cs="Arial"/>
          <w:snapToGrid w:val="0"/>
          <w:color w:val="000000"/>
          <w:sz w:val="17"/>
          <w:szCs w:val="17"/>
          <w:lang w:val="es-US"/>
        </w:rPr>
        <w:t xml:space="preserve">Una agencia de informes del consumidor puede proporcionar información </w:t>
      </w:r>
      <w:r w:rsidR="00124C84" w:rsidRPr="008941DB">
        <w:rPr>
          <w:rFonts w:cs="Arial"/>
          <w:snapToGrid w:val="0"/>
          <w:color w:val="000000"/>
          <w:sz w:val="17"/>
          <w:szCs w:val="17"/>
          <w:lang w:val="es-US"/>
        </w:rPr>
        <w:lastRenderedPageBreak/>
        <w:t>sobre usted únicamente a personas que realmente la necesiten, generalmente para tener en consideración una solicitud con acreedor, asegurador, empleador, propietario de vivienda u otro negocio. La FCRA especifica los que tienen una necesidad válida de acceso</w:t>
      </w:r>
      <w:r w:rsidR="00AA585F" w:rsidRPr="008941DB">
        <w:rPr>
          <w:rFonts w:cs="Arial"/>
          <w:snapToGrid w:val="0"/>
          <w:color w:val="000000"/>
          <w:sz w:val="17"/>
          <w:szCs w:val="17"/>
          <w:lang w:val="es-US"/>
        </w:rPr>
        <w:t>.</w:t>
      </w:r>
    </w:p>
    <w:p w:rsidR="00F26A58" w:rsidRPr="008941DB" w:rsidRDefault="008D6EA8">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Usted debe dar su consentimiento para que se proporcionen los informes a los empleadores</w:t>
      </w:r>
      <w:r w:rsidR="00AA585F" w:rsidRPr="008941DB">
        <w:rPr>
          <w:rFonts w:cs="Arial"/>
          <w:b/>
          <w:snapToGrid w:val="0"/>
          <w:color w:val="000000"/>
          <w:sz w:val="17"/>
          <w:szCs w:val="17"/>
          <w:lang w:val="es-US"/>
        </w:rPr>
        <w:t>.</w:t>
      </w:r>
      <w:r w:rsidR="00172406">
        <w:rPr>
          <w:rFonts w:cs="Arial"/>
          <w:snapToGrid w:val="0"/>
          <w:color w:val="000000"/>
          <w:sz w:val="17"/>
          <w:szCs w:val="17"/>
          <w:lang w:val="es-US"/>
        </w:rPr>
        <w:t xml:space="preserve"> </w:t>
      </w:r>
      <w:r w:rsidR="00124C84" w:rsidRPr="008941DB">
        <w:rPr>
          <w:rFonts w:cs="Arial"/>
          <w:snapToGrid w:val="0"/>
          <w:color w:val="000000"/>
          <w:sz w:val="17"/>
          <w:szCs w:val="17"/>
          <w:lang w:val="es-US"/>
        </w:rPr>
        <w:t>Una agencia de informes del consumidor no puede dar información sobre usted a su empleador o a un posible empleador sin su consentimiento por escrito otorgado al empleador. Por lo general, el consentimiento escrito no se exige en la industria de camiones. Para obtener información, visite</w:t>
      </w:r>
      <w:r w:rsidR="00AA585F" w:rsidRPr="008941DB">
        <w:rPr>
          <w:rFonts w:cs="Arial"/>
          <w:snapToGrid w:val="0"/>
          <w:color w:val="000000"/>
          <w:sz w:val="17"/>
          <w:szCs w:val="17"/>
          <w:lang w:val="es-US"/>
        </w:rPr>
        <w:t xml:space="preserve"> </w:t>
      </w:r>
      <w:hyperlink r:id="rId12" w:history="1">
        <w:r w:rsidR="00AA585F" w:rsidRPr="008941DB">
          <w:rPr>
            <w:rFonts w:cs="Arial"/>
            <w:snapToGrid w:val="0"/>
            <w:color w:val="0000FF"/>
            <w:sz w:val="17"/>
            <w:szCs w:val="17"/>
            <w:u w:val="single"/>
            <w:lang w:val="es-US"/>
          </w:rPr>
          <w:t>www.consumerfinance.gov/learnmore</w:t>
        </w:r>
      </w:hyperlink>
      <w:r w:rsidR="00AA585F" w:rsidRPr="008941DB">
        <w:rPr>
          <w:rFonts w:cs="Arial"/>
          <w:snapToGrid w:val="0"/>
          <w:color w:val="000000"/>
          <w:sz w:val="17"/>
          <w:szCs w:val="17"/>
          <w:lang w:val="es-US"/>
        </w:rPr>
        <w:t xml:space="preserve">. </w:t>
      </w:r>
    </w:p>
    <w:p w:rsidR="00F26A58" w:rsidRPr="008941DB" w:rsidRDefault="008D6EA8">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Usted puede limitar las ofertas “preseleccionadas” de crédito</w:t>
      </w:r>
      <w:r w:rsidR="000A6AD6" w:rsidRPr="008941DB">
        <w:rPr>
          <w:rFonts w:cs="Arial"/>
          <w:b/>
          <w:snapToGrid w:val="0"/>
          <w:color w:val="000000"/>
          <w:sz w:val="17"/>
          <w:szCs w:val="17"/>
          <w:lang w:val="es-US"/>
        </w:rPr>
        <w:t>s</w:t>
      </w:r>
      <w:r w:rsidRPr="008941DB">
        <w:rPr>
          <w:rFonts w:cs="Arial"/>
          <w:b/>
          <w:snapToGrid w:val="0"/>
          <w:color w:val="000000"/>
          <w:sz w:val="17"/>
          <w:szCs w:val="17"/>
          <w:lang w:val="es-US"/>
        </w:rPr>
        <w:t xml:space="preserve"> y seguros que obtiene en función de la información en su informe de crédito</w:t>
      </w:r>
      <w:r w:rsidR="00AA585F" w:rsidRPr="008941DB">
        <w:rPr>
          <w:rFonts w:cs="Arial"/>
          <w:b/>
          <w:snapToGrid w:val="0"/>
          <w:color w:val="000000"/>
          <w:sz w:val="17"/>
          <w:szCs w:val="17"/>
          <w:lang w:val="es-US"/>
        </w:rPr>
        <w:t>.</w:t>
      </w:r>
      <w:r w:rsidR="00172406">
        <w:rPr>
          <w:rFonts w:cs="Arial"/>
          <w:snapToGrid w:val="0"/>
          <w:color w:val="000000"/>
          <w:sz w:val="17"/>
          <w:szCs w:val="17"/>
          <w:lang w:val="es-US"/>
        </w:rPr>
        <w:t xml:space="preserve"> </w:t>
      </w:r>
      <w:r w:rsidR="000A6AD6" w:rsidRPr="008941DB">
        <w:rPr>
          <w:rFonts w:cs="Arial"/>
          <w:snapToGrid w:val="0"/>
          <w:color w:val="000000"/>
          <w:sz w:val="17"/>
          <w:szCs w:val="17"/>
          <w:lang w:val="es-US"/>
        </w:rPr>
        <w:t>Las</w:t>
      </w:r>
      <w:r w:rsidR="00172406">
        <w:rPr>
          <w:rFonts w:cs="Arial"/>
          <w:snapToGrid w:val="0"/>
          <w:color w:val="000000"/>
          <w:sz w:val="17"/>
          <w:szCs w:val="17"/>
          <w:lang w:val="es-US"/>
        </w:rPr>
        <w:t xml:space="preserve"> ofertas de créditos y seguros </w:t>
      </w:r>
      <w:r w:rsidR="000A6AD6" w:rsidRPr="008941DB">
        <w:rPr>
          <w:rFonts w:cs="Arial"/>
          <w:snapToGrid w:val="0"/>
          <w:color w:val="000000"/>
          <w:sz w:val="17"/>
          <w:szCs w:val="17"/>
          <w:lang w:val="es-US"/>
        </w:rPr>
        <w:t>“preseleccionadas” no solicitadas deben incluir un número de teléfono gratuito al que puede llamar si desea eliminar su nombre y dirección de las listas en las que se basan estas ofertas. Usted puede optar por no figurar en las listas de las agencias de crédito llamando al</w:t>
      </w:r>
      <w:r w:rsidR="00AA585F" w:rsidRPr="008941DB">
        <w:rPr>
          <w:rFonts w:cs="Arial"/>
          <w:snapToGrid w:val="0"/>
          <w:color w:val="000000"/>
          <w:sz w:val="17"/>
          <w:szCs w:val="17"/>
          <w:lang w:val="es-US"/>
        </w:rPr>
        <w:t xml:space="preserve"> 1-888-567-8688.</w:t>
      </w:r>
    </w:p>
    <w:p w:rsidR="00F26A58" w:rsidRPr="008941DB" w:rsidRDefault="00D36822" w:rsidP="005C118A">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Usted puede buscar una compensación por parte de los infractores</w:t>
      </w:r>
      <w:r w:rsidR="00AA585F" w:rsidRPr="008941DB">
        <w:rPr>
          <w:rFonts w:cs="Arial"/>
          <w:b/>
          <w:snapToGrid w:val="0"/>
          <w:color w:val="000000"/>
          <w:sz w:val="17"/>
          <w:szCs w:val="17"/>
          <w:lang w:val="es-US"/>
        </w:rPr>
        <w:t>.</w:t>
      </w:r>
      <w:r w:rsidR="005C118A" w:rsidRPr="008941DB">
        <w:rPr>
          <w:rFonts w:cs="Arial"/>
          <w:snapToGrid w:val="0"/>
          <w:color w:val="000000"/>
          <w:sz w:val="17"/>
          <w:szCs w:val="17"/>
          <w:lang w:val="es-US"/>
        </w:rPr>
        <w:t xml:space="preserve"> Si una agencia de informes del consumidor o, en algunos casos, si un usuario de informes del consumidor o proveedor de información a una agencia de informes del consumidor infringe la FCRA, usted puede entablar una demanda en un tribunal estatal o federal</w:t>
      </w:r>
      <w:r w:rsidR="00AA585F" w:rsidRPr="008941DB">
        <w:rPr>
          <w:rFonts w:cs="Arial"/>
          <w:snapToGrid w:val="0"/>
          <w:color w:val="000000"/>
          <w:sz w:val="17"/>
          <w:szCs w:val="17"/>
          <w:lang w:val="es-US"/>
        </w:rPr>
        <w:t>.</w:t>
      </w:r>
    </w:p>
    <w:p w:rsidR="00F26A58" w:rsidRPr="008941DB" w:rsidRDefault="00D36822">
      <w:pPr>
        <w:widowControl w:val="0"/>
        <w:tabs>
          <w:tab w:val="num" w:pos="1080"/>
        </w:tabs>
        <w:spacing w:after="260"/>
        <w:ind w:left="1080" w:hanging="360"/>
        <w:jc w:val="both"/>
        <w:rPr>
          <w:rFonts w:cs="Arial"/>
          <w:snapToGrid w:val="0"/>
          <w:color w:val="000000"/>
          <w:sz w:val="17"/>
          <w:szCs w:val="17"/>
          <w:lang w:val="es-US"/>
        </w:rPr>
      </w:pPr>
      <w:r w:rsidRPr="008941DB">
        <w:rPr>
          <w:rFonts w:cs="Arial"/>
          <w:b/>
          <w:snapToGrid w:val="0"/>
          <w:color w:val="000000"/>
          <w:sz w:val="17"/>
          <w:szCs w:val="17"/>
          <w:lang w:val="es-US"/>
        </w:rPr>
        <w:t>Las víctimas de robo de identidad y el personal militar activo tienen derechos adicionales</w:t>
      </w:r>
      <w:r w:rsidR="00AA585F" w:rsidRPr="008941DB">
        <w:rPr>
          <w:rFonts w:cs="Arial"/>
          <w:b/>
          <w:snapToGrid w:val="0"/>
          <w:color w:val="000000"/>
          <w:sz w:val="17"/>
          <w:szCs w:val="17"/>
          <w:lang w:val="es-US"/>
        </w:rPr>
        <w:t>.</w:t>
      </w:r>
      <w:r w:rsidR="00172406">
        <w:rPr>
          <w:rFonts w:cs="Arial"/>
          <w:snapToGrid w:val="0"/>
          <w:color w:val="000000"/>
          <w:sz w:val="17"/>
          <w:szCs w:val="17"/>
          <w:lang w:val="es-US"/>
        </w:rPr>
        <w:t xml:space="preserve"> </w:t>
      </w:r>
      <w:r w:rsidR="002A5615" w:rsidRPr="008941DB">
        <w:rPr>
          <w:rFonts w:cs="Arial"/>
          <w:snapToGrid w:val="0"/>
          <w:color w:val="000000"/>
          <w:sz w:val="17"/>
          <w:szCs w:val="17"/>
          <w:lang w:val="es-US"/>
        </w:rPr>
        <w:t>Para obtener más información, visite</w:t>
      </w:r>
      <w:r w:rsidR="00AA585F" w:rsidRPr="008941DB">
        <w:rPr>
          <w:rFonts w:cs="Arial"/>
          <w:snapToGrid w:val="0"/>
          <w:color w:val="000000"/>
          <w:sz w:val="17"/>
          <w:szCs w:val="17"/>
          <w:lang w:val="es-US"/>
        </w:rPr>
        <w:t xml:space="preserve"> </w:t>
      </w:r>
      <w:hyperlink r:id="rId13" w:history="1">
        <w:r w:rsidR="00AA585F" w:rsidRPr="008941DB">
          <w:rPr>
            <w:rFonts w:cs="Arial"/>
            <w:snapToGrid w:val="0"/>
            <w:color w:val="0000FF"/>
            <w:sz w:val="17"/>
            <w:szCs w:val="17"/>
            <w:u w:val="single"/>
            <w:lang w:val="es-US"/>
          </w:rPr>
          <w:t>www.consumerfinance.gov/learnmore</w:t>
        </w:r>
      </w:hyperlink>
      <w:r w:rsidR="00AA585F" w:rsidRPr="008941DB">
        <w:rPr>
          <w:rFonts w:cs="Arial"/>
          <w:snapToGrid w:val="0"/>
          <w:color w:val="000000"/>
          <w:sz w:val="17"/>
          <w:szCs w:val="17"/>
          <w:lang w:val="es-US"/>
        </w:rPr>
        <w:t>.</w:t>
      </w:r>
    </w:p>
    <w:p w:rsidR="00F26A58" w:rsidRPr="008941DB" w:rsidRDefault="00BA6D01" w:rsidP="00BA6D01">
      <w:pPr>
        <w:widowControl w:val="0"/>
        <w:spacing w:after="260"/>
        <w:ind w:left="720"/>
        <w:jc w:val="both"/>
        <w:rPr>
          <w:rFonts w:cs="Arial"/>
          <w:b/>
          <w:snapToGrid w:val="0"/>
          <w:color w:val="000000"/>
          <w:sz w:val="17"/>
          <w:szCs w:val="17"/>
          <w:lang w:val="es-US"/>
        </w:rPr>
      </w:pPr>
      <w:r w:rsidRPr="008941DB">
        <w:rPr>
          <w:rFonts w:cs="Arial"/>
          <w:b/>
          <w:snapToGrid w:val="0"/>
          <w:color w:val="000000"/>
          <w:sz w:val="17"/>
          <w:szCs w:val="17"/>
          <w:lang w:val="es-US"/>
        </w:rPr>
        <w:t>Los estados pueden hacer cumplir la FCRA y muchos estados tienen sus propias leyes de informes de los consumidores. En algunos casos, es posible que usted tenga más derechos en virtud de la ley estatal. Para obtener más información, póngase en contacto con su agencia estatal o local de protección del consumidor o con su procurador general del estado. Para obtener información sobre sus derechos federales, póngase en contacto con</w:t>
      </w:r>
      <w:r w:rsidR="00AA585F" w:rsidRPr="008941DB">
        <w:rPr>
          <w:rFonts w:cs="Arial"/>
          <w:b/>
          <w:snapToGrid w:val="0"/>
          <w:color w:val="000000"/>
          <w:sz w:val="17"/>
          <w:szCs w:val="17"/>
          <w:lang w:val="es-US"/>
        </w:rPr>
        <w:t>:</w:t>
      </w:r>
    </w:p>
    <w:tbl>
      <w:tblPr>
        <w:tblW w:w="10170" w:type="dxa"/>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580"/>
        <w:gridCol w:w="4590"/>
      </w:tblGrid>
      <w:tr w:rsidR="00F26A58" w:rsidRPr="008941DB">
        <w:trPr>
          <w:tblHeade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4A6A96">
            <w:pPr>
              <w:widowControl w:val="0"/>
              <w:jc w:val="center"/>
              <w:rPr>
                <w:rFonts w:cs="Arial"/>
                <w:b/>
                <w:sz w:val="17"/>
                <w:szCs w:val="17"/>
                <w:lang w:val="es-US"/>
              </w:rPr>
            </w:pPr>
            <w:r w:rsidRPr="008941DB">
              <w:rPr>
                <w:rFonts w:cs="Arial"/>
                <w:b/>
                <w:sz w:val="17"/>
                <w:szCs w:val="17"/>
                <w:lang w:val="es-US"/>
              </w:rPr>
              <w:t>TIPO DE NEGOCIO</w:t>
            </w:r>
            <w:r w:rsidR="00AA585F" w:rsidRPr="008941DB">
              <w:rPr>
                <w:rFonts w:cs="Arial"/>
                <w:b/>
                <w:sz w:val="17"/>
                <w:szCs w:val="17"/>
                <w:lang w:val="es-US"/>
              </w:rPr>
              <w:t>:</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69368D">
            <w:pPr>
              <w:widowControl w:val="0"/>
              <w:jc w:val="center"/>
              <w:rPr>
                <w:rFonts w:cs="Arial"/>
                <w:b/>
                <w:sz w:val="17"/>
                <w:szCs w:val="17"/>
                <w:lang w:val="es-US"/>
              </w:rPr>
            </w:pPr>
            <w:r>
              <w:rPr>
                <w:rFonts w:cs="Arial"/>
                <w:b/>
                <w:sz w:val="17"/>
                <w:szCs w:val="17"/>
                <w:lang w:val="es-US"/>
              </w:rPr>
              <w:t>PÓNGASE EN CONTACTO</w:t>
            </w:r>
            <w:r w:rsidR="004A6A96" w:rsidRPr="008941DB">
              <w:rPr>
                <w:rFonts w:cs="Arial"/>
                <w:b/>
                <w:sz w:val="17"/>
                <w:szCs w:val="17"/>
                <w:lang w:val="es-US"/>
              </w:rPr>
              <w:t xml:space="preserve"> CON</w:t>
            </w:r>
            <w:r w:rsidR="00AA585F" w:rsidRPr="008941DB">
              <w:rPr>
                <w:rFonts w:cs="Arial"/>
                <w:b/>
                <w:sz w:val="17"/>
                <w:szCs w:val="17"/>
                <w:lang w:val="es-US"/>
              </w:rPr>
              <w:t>:</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507C7B">
            <w:pPr>
              <w:widowControl w:val="0"/>
              <w:rPr>
                <w:rFonts w:cs="Arial"/>
                <w:sz w:val="14"/>
                <w:szCs w:val="14"/>
                <w:lang w:val="es-US"/>
              </w:rPr>
            </w:pPr>
            <w:proofErr w:type="gramStart"/>
            <w:r>
              <w:rPr>
                <w:rFonts w:cs="Arial"/>
                <w:sz w:val="14"/>
                <w:szCs w:val="14"/>
                <w:lang w:val="es-US"/>
              </w:rPr>
              <w:t>1.a</w:t>
            </w:r>
            <w:proofErr w:type="gramEnd"/>
            <w:r>
              <w:rPr>
                <w:rFonts w:cs="Arial"/>
                <w:sz w:val="14"/>
                <w:szCs w:val="14"/>
                <w:lang w:val="es-US"/>
              </w:rPr>
              <w:t xml:space="preserve">. </w:t>
            </w:r>
            <w:r w:rsidR="0046453A" w:rsidRPr="008941DB">
              <w:rPr>
                <w:rFonts w:cs="Arial"/>
                <w:sz w:val="14"/>
                <w:szCs w:val="14"/>
                <w:lang w:val="es-US"/>
              </w:rPr>
              <w:t xml:space="preserve">Bancos, </w:t>
            </w:r>
            <w:r w:rsidR="00865DEC">
              <w:rPr>
                <w:rFonts w:cs="Arial"/>
                <w:sz w:val="14"/>
                <w:szCs w:val="14"/>
                <w:lang w:val="es-US"/>
              </w:rPr>
              <w:t>sociedades</w:t>
            </w:r>
            <w:r w:rsidR="0046453A" w:rsidRPr="008941DB">
              <w:rPr>
                <w:rFonts w:cs="Arial"/>
                <w:sz w:val="14"/>
                <w:szCs w:val="14"/>
                <w:lang w:val="es-US"/>
              </w:rPr>
              <w:t xml:space="preserve"> de ahorro y cooperativas de crédito con activos totales de más de $10 mil millones y sus filiales</w:t>
            </w:r>
            <w:r w:rsidR="00AA585F" w:rsidRPr="008941DB">
              <w:rPr>
                <w:rFonts w:cs="Arial"/>
                <w:sz w:val="14"/>
                <w:szCs w:val="14"/>
                <w:lang w:val="es-US"/>
              </w:rPr>
              <w:t>.</w:t>
            </w:r>
          </w:p>
          <w:p w:rsidR="00F26A58" w:rsidRPr="008941DB" w:rsidRDefault="00F26A58">
            <w:pPr>
              <w:widowControl w:val="0"/>
              <w:rPr>
                <w:rFonts w:cs="Arial"/>
                <w:sz w:val="14"/>
                <w:szCs w:val="14"/>
                <w:lang w:val="es-US"/>
              </w:rPr>
            </w:pPr>
          </w:p>
          <w:p w:rsidR="00F26A58" w:rsidRPr="008941DB" w:rsidRDefault="00AA585F">
            <w:pPr>
              <w:widowControl w:val="0"/>
              <w:rPr>
                <w:rFonts w:cs="Arial"/>
                <w:b/>
                <w:sz w:val="14"/>
                <w:szCs w:val="14"/>
                <w:lang w:val="es-US"/>
              </w:rPr>
            </w:pPr>
            <w:r w:rsidRPr="008941DB">
              <w:rPr>
                <w:rFonts w:cs="Arial"/>
                <w:sz w:val="14"/>
                <w:szCs w:val="14"/>
                <w:lang w:val="es-US"/>
              </w:rPr>
              <w:t xml:space="preserve">b. </w:t>
            </w:r>
            <w:r w:rsidR="0046453A" w:rsidRPr="008941DB">
              <w:rPr>
                <w:rFonts w:cs="Arial"/>
                <w:sz w:val="14"/>
                <w:szCs w:val="14"/>
                <w:lang w:val="es-US"/>
              </w:rPr>
              <w:t xml:space="preserve">Dichas filiales que no son bancos, </w:t>
            </w:r>
            <w:r w:rsidR="00865DEC">
              <w:rPr>
                <w:rFonts w:cs="Arial"/>
                <w:sz w:val="14"/>
                <w:szCs w:val="14"/>
                <w:lang w:val="es-US"/>
              </w:rPr>
              <w:t>sociedades</w:t>
            </w:r>
            <w:r w:rsidR="0046453A" w:rsidRPr="008941DB">
              <w:rPr>
                <w:rFonts w:cs="Arial"/>
                <w:sz w:val="14"/>
                <w:szCs w:val="14"/>
                <w:lang w:val="es-US"/>
              </w:rPr>
              <w:t xml:space="preserve"> de ahorro o cooperativas de crédito también debe mencionarse, además de la Bureau</w:t>
            </w:r>
            <w:r w:rsidRPr="008941DB">
              <w:rPr>
                <w:rFonts w:cs="Arial"/>
                <w:sz w:val="14"/>
                <w:szCs w:val="14"/>
                <w:lang w:val="es-US"/>
              </w:rPr>
              <w:t>.</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b/>
                <w:sz w:val="14"/>
                <w:szCs w:val="14"/>
                <w:lang w:val="es-US"/>
              </w:rPr>
            </w:pPr>
          </w:p>
          <w:p w:rsidR="00F26A58" w:rsidRPr="008941DB" w:rsidRDefault="00AA585F">
            <w:pPr>
              <w:widowControl w:val="0"/>
              <w:rPr>
                <w:rFonts w:cs="Arial"/>
                <w:sz w:val="14"/>
                <w:szCs w:val="14"/>
                <w:lang w:val="es-US"/>
              </w:rPr>
            </w:pPr>
            <w:r w:rsidRPr="008941DB">
              <w:rPr>
                <w:rFonts w:cs="Arial"/>
                <w:sz w:val="14"/>
                <w:szCs w:val="14"/>
                <w:lang w:val="es-US"/>
              </w:rPr>
              <w:t>a.</w:t>
            </w:r>
            <w:r w:rsidR="00172406">
              <w:rPr>
                <w:rFonts w:cs="Arial"/>
                <w:b/>
                <w:sz w:val="14"/>
                <w:szCs w:val="14"/>
                <w:lang w:val="es-US"/>
              </w:rPr>
              <w:t xml:space="preserve"> </w:t>
            </w:r>
            <w:r w:rsidR="007F1EAC" w:rsidRPr="008941DB">
              <w:rPr>
                <w:rFonts w:cs="Arial"/>
                <w:sz w:val="14"/>
                <w:szCs w:val="14"/>
                <w:lang w:val="es-US"/>
              </w:rPr>
              <w:t>Oficina de Protección Financiera del Consumidor</w:t>
            </w:r>
          </w:p>
          <w:p w:rsidR="00F26A58" w:rsidRPr="00172406" w:rsidRDefault="00AA585F">
            <w:pPr>
              <w:rPr>
                <w:sz w:val="14"/>
                <w:szCs w:val="14"/>
              </w:rPr>
            </w:pPr>
            <w:r w:rsidRPr="00172406">
              <w:rPr>
                <w:sz w:val="14"/>
                <w:szCs w:val="14"/>
              </w:rPr>
              <w:t>1700 G Street NW</w:t>
            </w:r>
          </w:p>
          <w:p w:rsidR="00F26A58" w:rsidRPr="00172406" w:rsidRDefault="00AA585F">
            <w:pPr>
              <w:rPr>
                <w:sz w:val="14"/>
                <w:szCs w:val="14"/>
              </w:rPr>
            </w:pPr>
            <w:r w:rsidRPr="00172406">
              <w:rPr>
                <w:sz w:val="14"/>
                <w:szCs w:val="14"/>
              </w:rPr>
              <w:t>Washington, DC 20006</w:t>
            </w:r>
          </w:p>
          <w:p w:rsidR="00F26A58" w:rsidRPr="00172406" w:rsidRDefault="00F26A58">
            <w:pPr>
              <w:rPr>
                <w:sz w:val="14"/>
                <w:szCs w:val="14"/>
              </w:rPr>
            </w:pPr>
          </w:p>
          <w:p w:rsidR="00F26A58" w:rsidRPr="008941DB" w:rsidRDefault="00172406">
            <w:pPr>
              <w:rPr>
                <w:sz w:val="14"/>
                <w:szCs w:val="14"/>
                <w:lang w:val="es-US"/>
              </w:rPr>
            </w:pPr>
            <w:r>
              <w:rPr>
                <w:sz w:val="14"/>
                <w:szCs w:val="14"/>
                <w:lang w:val="es-US"/>
              </w:rPr>
              <w:t>b.</w:t>
            </w:r>
            <w:r w:rsidR="00AA585F" w:rsidRPr="008941DB">
              <w:rPr>
                <w:sz w:val="14"/>
                <w:szCs w:val="14"/>
                <w:lang w:val="es-US"/>
              </w:rPr>
              <w:t xml:space="preserve"> </w:t>
            </w:r>
            <w:r w:rsidR="007F1EAC" w:rsidRPr="008941DB">
              <w:rPr>
                <w:sz w:val="14"/>
                <w:szCs w:val="14"/>
                <w:lang w:val="es-US"/>
              </w:rPr>
              <w:t>Comisión Federal de Comercio: Centro de Respuestas al Consumidor</w:t>
            </w:r>
            <w:r w:rsidR="00AA585F" w:rsidRPr="008941DB">
              <w:rPr>
                <w:sz w:val="14"/>
                <w:szCs w:val="14"/>
                <w:lang w:val="es-US"/>
              </w:rPr>
              <w:t xml:space="preserve"> – FCRA</w:t>
            </w:r>
          </w:p>
          <w:p w:rsidR="00F26A58" w:rsidRPr="008941DB" w:rsidRDefault="00AA585F">
            <w:pPr>
              <w:rPr>
                <w:sz w:val="14"/>
                <w:szCs w:val="14"/>
                <w:lang w:val="es-US"/>
              </w:rPr>
            </w:pPr>
            <w:r w:rsidRPr="008941DB">
              <w:rPr>
                <w:sz w:val="14"/>
                <w:szCs w:val="14"/>
                <w:lang w:val="es-US"/>
              </w:rPr>
              <w:t>Washington, DC 20580</w:t>
            </w:r>
          </w:p>
          <w:p w:rsidR="00F26A58" w:rsidRPr="008941DB" w:rsidRDefault="00AA585F">
            <w:pPr>
              <w:rPr>
                <w:rFonts w:cs="Arial"/>
                <w:sz w:val="14"/>
                <w:szCs w:val="14"/>
                <w:lang w:val="es-US"/>
              </w:rPr>
            </w:pPr>
            <w:r w:rsidRPr="008941DB">
              <w:rPr>
                <w:sz w:val="14"/>
                <w:szCs w:val="14"/>
                <w:lang w:val="es-US"/>
              </w:rPr>
              <w:t>(877) 382-4357</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AA585F">
            <w:pPr>
              <w:widowControl w:val="0"/>
              <w:rPr>
                <w:rFonts w:cs="Arial"/>
                <w:sz w:val="14"/>
                <w:szCs w:val="14"/>
                <w:lang w:val="es-US"/>
              </w:rPr>
            </w:pPr>
            <w:r w:rsidRPr="008941DB">
              <w:rPr>
                <w:rFonts w:cs="Arial"/>
                <w:sz w:val="14"/>
                <w:szCs w:val="14"/>
                <w:lang w:val="es-US"/>
              </w:rPr>
              <w:t xml:space="preserve">2. </w:t>
            </w:r>
            <w:r w:rsidR="003705B4" w:rsidRPr="008941DB">
              <w:rPr>
                <w:rFonts w:cs="Arial"/>
                <w:sz w:val="14"/>
                <w:szCs w:val="14"/>
                <w:lang w:val="es-US"/>
              </w:rPr>
              <w:t>En la medida en que no se incluyan en el punto 1 anterior</w:t>
            </w:r>
            <w:r w:rsidRPr="008941DB">
              <w:rPr>
                <w:rFonts w:cs="Arial"/>
                <w:sz w:val="14"/>
                <w:szCs w:val="14"/>
                <w:lang w:val="es-US"/>
              </w:rPr>
              <w:t>:</w:t>
            </w:r>
          </w:p>
          <w:p w:rsidR="00F26A58" w:rsidRPr="008941DB" w:rsidRDefault="00F26A58">
            <w:pPr>
              <w:rPr>
                <w:sz w:val="14"/>
                <w:szCs w:val="14"/>
                <w:lang w:val="es-US"/>
              </w:rPr>
            </w:pPr>
          </w:p>
          <w:p w:rsidR="00F26A58" w:rsidRPr="008941DB" w:rsidRDefault="008669A0">
            <w:pPr>
              <w:rPr>
                <w:sz w:val="14"/>
                <w:szCs w:val="14"/>
                <w:lang w:val="es-US"/>
              </w:rPr>
            </w:pPr>
            <w:r w:rsidRPr="008941DB">
              <w:rPr>
                <w:sz w:val="14"/>
                <w:szCs w:val="14"/>
                <w:lang w:val="es-US"/>
              </w:rPr>
              <w:t xml:space="preserve">a. </w:t>
            </w:r>
            <w:r w:rsidR="003705B4" w:rsidRPr="008941DB">
              <w:rPr>
                <w:sz w:val="14"/>
                <w:szCs w:val="14"/>
                <w:lang w:val="es-US"/>
              </w:rPr>
              <w:t xml:space="preserve">Los bancos nacionales, </w:t>
            </w:r>
            <w:r w:rsidR="00865DEC">
              <w:rPr>
                <w:sz w:val="14"/>
                <w:szCs w:val="14"/>
                <w:lang w:val="es-US"/>
              </w:rPr>
              <w:t>sociedades</w:t>
            </w:r>
            <w:r w:rsidR="003705B4" w:rsidRPr="008941DB">
              <w:rPr>
                <w:sz w:val="14"/>
                <w:szCs w:val="14"/>
                <w:lang w:val="es-US"/>
              </w:rPr>
              <w:t xml:space="preserve"> de ahorro federales y sucursales / agencias federales de bancos extranjeros.</w:t>
            </w:r>
          </w:p>
          <w:p w:rsidR="00F26A58" w:rsidRPr="008941DB" w:rsidRDefault="00F26A58">
            <w:pPr>
              <w:rPr>
                <w:sz w:val="14"/>
                <w:szCs w:val="14"/>
                <w:lang w:val="es-US"/>
              </w:rPr>
            </w:pPr>
          </w:p>
          <w:p w:rsidR="00F26A58" w:rsidRPr="008941DB" w:rsidRDefault="003705B4">
            <w:pPr>
              <w:rPr>
                <w:sz w:val="14"/>
                <w:szCs w:val="14"/>
                <w:lang w:val="es-US"/>
              </w:rPr>
            </w:pPr>
            <w:r w:rsidRPr="008941DB">
              <w:rPr>
                <w:sz w:val="14"/>
                <w:szCs w:val="14"/>
                <w:lang w:val="es-US"/>
              </w:rPr>
              <w:t>b. Los bancos estatales miembros, las sucursales y agencias de bancos extranjeros (que no sean sucursales federales, agencias federales y sucursales estatales de bancos extranjeros asegurados), las compañías de préstamos comerciales de propiedad o controladas por bancos extranjeros y las organizaciones que operan en virtud de la sección 25 o 25A de la Ley de Reserva Federal.</w:t>
            </w:r>
          </w:p>
          <w:p w:rsidR="00F26A58" w:rsidRPr="008941DB" w:rsidRDefault="00F26A58">
            <w:pPr>
              <w:rPr>
                <w:sz w:val="14"/>
                <w:szCs w:val="14"/>
                <w:lang w:val="es-US"/>
              </w:rPr>
            </w:pPr>
          </w:p>
          <w:p w:rsidR="00F26A58" w:rsidRPr="008941DB" w:rsidRDefault="00172406">
            <w:pPr>
              <w:rPr>
                <w:sz w:val="14"/>
                <w:szCs w:val="14"/>
                <w:lang w:val="es-US"/>
              </w:rPr>
            </w:pPr>
            <w:r>
              <w:rPr>
                <w:sz w:val="14"/>
                <w:szCs w:val="14"/>
                <w:lang w:val="es-US"/>
              </w:rPr>
              <w:t xml:space="preserve">c. </w:t>
            </w:r>
            <w:r w:rsidR="003705B4" w:rsidRPr="008941DB">
              <w:rPr>
                <w:sz w:val="14"/>
                <w:szCs w:val="14"/>
                <w:lang w:val="es-US"/>
              </w:rPr>
              <w:t xml:space="preserve">Bancos asegurados no miembros, sucursales estatales </w:t>
            </w:r>
            <w:r w:rsidR="00F45DD3">
              <w:rPr>
                <w:sz w:val="14"/>
                <w:szCs w:val="14"/>
                <w:lang w:val="es-US"/>
              </w:rPr>
              <w:t>aseguradas</w:t>
            </w:r>
            <w:r w:rsidR="003705B4" w:rsidRPr="008941DB">
              <w:rPr>
                <w:sz w:val="14"/>
                <w:szCs w:val="14"/>
                <w:lang w:val="es-US"/>
              </w:rPr>
              <w:t xml:space="preserve"> de bancos extranjeros y </w:t>
            </w:r>
            <w:r w:rsidR="00865DEC">
              <w:rPr>
                <w:sz w:val="14"/>
                <w:szCs w:val="14"/>
                <w:lang w:val="es-US"/>
              </w:rPr>
              <w:t>sociedades</w:t>
            </w:r>
            <w:r w:rsidR="001F204F" w:rsidRPr="008941DB">
              <w:rPr>
                <w:sz w:val="14"/>
                <w:szCs w:val="14"/>
                <w:lang w:val="es-US"/>
              </w:rPr>
              <w:t xml:space="preserve"> </w:t>
            </w:r>
            <w:r w:rsidR="003705B4" w:rsidRPr="008941DB">
              <w:rPr>
                <w:sz w:val="14"/>
                <w:szCs w:val="14"/>
                <w:lang w:val="es-US"/>
              </w:rPr>
              <w:t xml:space="preserve">estatales de ahorro </w:t>
            </w:r>
            <w:r w:rsidR="001F204F" w:rsidRPr="008941DB">
              <w:rPr>
                <w:sz w:val="14"/>
                <w:szCs w:val="14"/>
                <w:lang w:val="es-US"/>
              </w:rPr>
              <w:t>a</w:t>
            </w:r>
            <w:r w:rsidR="00F45DD3">
              <w:rPr>
                <w:sz w:val="14"/>
                <w:szCs w:val="14"/>
                <w:lang w:val="es-US"/>
              </w:rPr>
              <w:t>seguradas</w:t>
            </w:r>
            <w:r w:rsidR="003705B4" w:rsidRPr="008941DB">
              <w:rPr>
                <w:sz w:val="14"/>
                <w:szCs w:val="14"/>
                <w:lang w:val="es-US"/>
              </w:rPr>
              <w:t>.</w:t>
            </w:r>
          </w:p>
          <w:p w:rsidR="00F26A58" w:rsidRPr="008941DB" w:rsidRDefault="00F26A58">
            <w:pPr>
              <w:rPr>
                <w:sz w:val="14"/>
                <w:szCs w:val="14"/>
                <w:lang w:val="es-US"/>
              </w:rPr>
            </w:pPr>
          </w:p>
          <w:p w:rsidR="00F26A58" w:rsidRPr="008941DB" w:rsidRDefault="008669A0">
            <w:pPr>
              <w:rPr>
                <w:sz w:val="14"/>
                <w:szCs w:val="14"/>
                <w:lang w:val="es-US"/>
              </w:rPr>
            </w:pPr>
            <w:r w:rsidRPr="008941DB">
              <w:rPr>
                <w:sz w:val="14"/>
                <w:szCs w:val="14"/>
                <w:lang w:val="es-US"/>
              </w:rPr>
              <w:t>d.</w:t>
            </w:r>
            <w:r w:rsidR="00AA585F" w:rsidRPr="008941DB">
              <w:rPr>
                <w:sz w:val="14"/>
                <w:szCs w:val="14"/>
                <w:lang w:val="es-US"/>
              </w:rPr>
              <w:t xml:space="preserve"> </w:t>
            </w:r>
            <w:r w:rsidR="001F204F" w:rsidRPr="008941DB">
              <w:rPr>
                <w:sz w:val="14"/>
                <w:szCs w:val="14"/>
                <w:lang w:val="es-US"/>
              </w:rPr>
              <w:t>Cooperativas de crédito federales</w:t>
            </w:r>
            <w:r w:rsidR="003705B4" w:rsidRPr="008941DB">
              <w:rPr>
                <w:sz w:val="14"/>
                <w:szCs w:val="14"/>
                <w:lang w:val="es-US"/>
              </w:rPr>
              <w:t>.</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rPr>
                <w:rFonts w:cs="Arial"/>
                <w:sz w:val="14"/>
                <w:szCs w:val="14"/>
                <w:lang w:val="es-US"/>
              </w:rPr>
            </w:pPr>
          </w:p>
          <w:p w:rsidR="00F26A58" w:rsidRPr="008941DB" w:rsidRDefault="00172406">
            <w:pPr>
              <w:rPr>
                <w:rFonts w:cs="Arial"/>
                <w:sz w:val="14"/>
                <w:szCs w:val="14"/>
                <w:lang w:val="es-US"/>
              </w:rPr>
            </w:pPr>
            <w:r>
              <w:rPr>
                <w:rFonts w:cs="Arial"/>
                <w:sz w:val="14"/>
                <w:szCs w:val="14"/>
                <w:lang w:val="es-US"/>
              </w:rPr>
              <w:t xml:space="preserve">a. </w:t>
            </w:r>
            <w:r w:rsidR="007F1EAC" w:rsidRPr="008941DB">
              <w:rPr>
                <w:rFonts w:cs="Arial"/>
                <w:sz w:val="14"/>
                <w:szCs w:val="14"/>
                <w:lang w:val="es-US"/>
              </w:rPr>
              <w:t>Oficina del Contralor de la Moneda</w:t>
            </w:r>
          </w:p>
          <w:p w:rsidR="00F26A58" w:rsidRPr="008941DB" w:rsidRDefault="007F1EAC">
            <w:pPr>
              <w:rPr>
                <w:rFonts w:cs="Arial"/>
                <w:sz w:val="14"/>
                <w:szCs w:val="14"/>
                <w:lang w:val="es-US"/>
              </w:rPr>
            </w:pPr>
            <w:r w:rsidRPr="008941DB">
              <w:rPr>
                <w:rFonts w:cs="Arial"/>
                <w:sz w:val="14"/>
                <w:szCs w:val="14"/>
                <w:lang w:val="es-US"/>
              </w:rPr>
              <w:t>Grupo de Asistencia al Cliente</w:t>
            </w:r>
          </w:p>
          <w:p w:rsidR="00F26A58" w:rsidRPr="008941DB" w:rsidRDefault="00AA585F">
            <w:pPr>
              <w:rPr>
                <w:rFonts w:cs="Arial"/>
                <w:sz w:val="14"/>
                <w:szCs w:val="14"/>
                <w:lang w:val="es-US"/>
              </w:rPr>
            </w:pPr>
            <w:r w:rsidRPr="008941DB">
              <w:rPr>
                <w:rFonts w:cs="Arial"/>
                <w:sz w:val="14"/>
                <w:szCs w:val="14"/>
                <w:lang w:val="es-US"/>
              </w:rPr>
              <w:t xml:space="preserve">1301 </w:t>
            </w:r>
            <w:proofErr w:type="spellStart"/>
            <w:r w:rsidRPr="008941DB">
              <w:rPr>
                <w:rFonts w:cs="Arial"/>
                <w:sz w:val="14"/>
                <w:szCs w:val="14"/>
                <w:lang w:val="es-US"/>
              </w:rPr>
              <w:t>McKinney</w:t>
            </w:r>
            <w:proofErr w:type="spellEnd"/>
            <w:r w:rsidRPr="008941DB">
              <w:rPr>
                <w:rFonts w:cs="Arial"/>
                <w:sz w:val="14"/>
                <w:szCs w:val="14"/>
                <w:lang w:val="es-US"/>
              </w:rPr>
              <w:t xml:space="preserve"> Street, Suite 3450</w:t>
            </w:r>
          </w:p>
          <w:p w:rsidR="00F26A58" w:rsidRPr="008941DB" w:rsidRDefault="00AA585F">
            <w:pPr>
              <w:rPr>
                <w:rFonts w:cs="Arial"/>
                <w:sz w:val="14"/>
                <w:szCs w:val="14"/>
                <w:lang w:val="es-US"/>
              </w:rPr>
            </w:pPr>
            <w:r w:rsidRPr="008941DB">
              <w:rPr>
                <w:rFonts w:cs="Arial"/>
                <w:sz w:val="14"/>
                <w:szCs w:val="14"/>
                <w:lang w:val="es-US"/>
              </w:rPr>
              <w:t>Houston, TX 77010-9050</w:t>
            </w:r>
          </w:p>
          <w:p w:rsidR="00F26A58" w:rsidRPr="008941DB" w:rsidRDefault="00F26A58">
            <w:pPr>
              <w:rPr>
                <w:rFonts w:cs="Arial"/>
                <w:sz w:val="14"/>
                <w:szCs w:val="14"/>
                <w:lang w:val="es-US"/>
              </w:rPr>
            </w:pPr>
          </w:p>
          <w:p w:rsidR="00F26A58" w:rsidRPr="008941DB" w:rsidRDefault="00172406">
            <w:pPr>
              <w:rPr>
                <w:rFonts w:cs="Arial"/>
                <w:sz w:val="14"/>
                <w:szCs w:val="14"/>
                <w:lang w:val="es-US"/>
              </w:rPr>
            </w:pPr>
            <w:r>
              <w:rPr>
                <w:rFonts w:cs="Arial"/>
                <w:sz w:val="14"/>
                <w:szCs w:val="14"/>
                <w:lang w:val="es-US"/>
              </w:rPr>
              <w:t xml:space="preserve">b. </w:t>
            </w:r>
            <w:r w:rsidR="000A5129" w:rsidRPr="008941DB">
              <w:rPr>
                <w:rFonts w:cs="Arial"/>
                <w:sz w:val="14"/>
                <w:szCs w:val="14"/>
                <w:lang w:val="es-US"/>
              </w:rPr>
              <w:t>Centro de Ayuda al Consumidor de la Reserva Federal</w:t>
            </w:r>
          </w:p>
          <w:p w:rsidR="00F26A58" w:rsidRPr="00172406" w:rsidRDefault="00AA585F">
            <w:pPr>
              <w:rPr>
                <w:rFonts w:cs="Arial"/>
                <w:sz w:val="14"/>
                <w:szCs w:val="14"/>
              </w:rPr>
            </w:pPr>
            <w:r w:rsidRPr="00172406">
              <w:rPr>
                <w:rFonts w:cs="Arial"/>
                <w:sz w:val="14"/>
                <w:szCs w:val="14"/>
              </w:rPr>
              <w:t>P.O. Box 1200</w:t>
            </w:r>
          </w:p>
          <w:p w:rsidR="00F26A58" w:rsidRPr="00172406" w:rsidRDefault="00AA585F">
            <w:pPr>
              <w:rPr>
                <w:rFonts w:cs="Arial"/>
                <w:sz w:val="14"/>
                <w:szCs w:val="14"/>
              </w:rPr>
            </w:pPr>
            <w:r w:rsidRPr="00172406">
              <w:rPr>
                <w:rFonts w:cs="Arial"/>
                <w:sz w:val="14"/>
                <w:szCs w:val="14"/>
              </w:rPr>
              <w:t>Minneapolis, MN 55480</w:t>
            </w:r>
          </w:p>
          <w:p w:rsidR="00F26A58" w:rsidRPr="00172406" w:rsidRDefault="00F26A58">
            <w:pPr>
              <w:rPr>
                <w:rFonts w:cs="Arial"/>
                <w:sz w:val="14"/>
                <w:szCs w:val="14"/>
              </w:rPr>
            </w:pPr>
          </w:p>
          <w:p w:rsidR="00F26A58" w:rsidRPr="008941DB" w:rsidRDefault="00172406">
            <w:pPr>
              <w:rPr>
                <w:rFonts w:cs="Arial"/>
                <w:sz w:val="14"/>
                <w:szCs w:val="14"/>
                <w:lang w:val="es-US"/>
              </w:rPr>
            </w:pPr>
            <w:r>
              <w:rPr>
                <w:rFonts w:cs="Arial"/>
                <w:sz w:val="14"/>
                <w:szCs w:val="14"/>
                <w:lang w:val="es-US"/>
              </w:rPr>
              <w:t xml:space="preserve">c. </w:t>
            </w:r>
            <w:r w:rsidR="000A5129" w:rsidRPr="008941DB">
              <w:rPr>
                <w:rFonts w:cs="Arial"/>
                <w:sz w:val="14"/>
                <w:szCs w:val="14"/>
                <w:lang w:val="es-US"/>
              </w:rPr>
              <w:t>Centro de Respuesta al Consumidor de FDIC</w:t>
            </w:r>
          </w:p>
          <w:p w:rsidR="00F26A58" w:rsidRPr="00172406" w:rsidRDefault="00AA585F">
            <w:pPr>
              <w:rPr>
                <w:rFonts w:cs="Arial"/>
                <w:sz w:val="14"/>
                <w:szCs w:val="14"/>
              </w:rPr>
            </w:pPr>
            <w:r w:rsidRPr="00172406">
              <w:rPr>
                <w:rFonts w:cs="Arial"/>
                <w:sz w:val="14"/>
                <w:szCs w:val="14"/>
              </w:rPr>
              <w:t>1100 Walnut Street, Box #11</w:t>
            </w:r>
          </w:p>
          <w:p w:rsidR="00F26A58" w:rsidRPr="00172406" w:rsidRDefault="00AA585F">
            <w:pPr>
              <w:rPr>
                <w:rFonts w:cs="Arial"/>
                <w:sz w:val="14"/>
                <w:szCs w:val="14"/>
              </w:rPr>
            </w:pPr>
            <w:r w:rsidRPr="00172406">
              <w:rPr>
                <w:rFonts w:cs="Arial"/>
                <w:sz w:val="14"/>
                <w:szCs w:val="14"/>
              </w:rPr>
              <w:t>Kansas City, MO 64106</w:t>
            </w:r>
          </w:p>
          <w:p w:rsidR="00F26A58" w:rsidRPr="00172406" w:rsidRDefault="00F26A58">
            <w:pPr>
              <w:rPr>
                <w:rFonts w:cs="Arial"/>
                <w:sz w:val="14"/>
                <w:szCs w:val="14"/>
              </w:rPr>
            </w:pPr>
          </w:p>
          <w:p w:rsidR="00F26A58" w:rsidRPr="008941DB" w:rsidRDefault="00172406">
            <w:pPr>
              <w:rPr>
                <w:rFonts w:cs="Arial"/>
                <w:sz w:val="14"/>
                <w:szCs w:val="14"/>
                <w:lang w:val="es-US"/>
              </w:rPr>
            </w:pPr>
            <w:r>
              <w:rPr>
                <w:rFonts w:cs="Arial"/>
                <w:sz w:val="14"/>
                <w:szCs w:val="14"/>
                <w:lang w:val="es-US"/>
              </w:rPr>
              <w:t>d.</w:t>
            </w:r>
            <w:bookmarkStart w:id="0" w:name="_GoBack"/>
            <w:bookmarkEnd w:id="0"/>
            <w:r w:rsidR="00AA585F" w:rsidRPr="008941DB">
              <w:rPr>
                <w:rFonts w:cs="Arial"/>
                <w:sz w:val="14"/>
                <w:szCs w:val="14"/>
                <w:lang w:val="es-US"/>
              </w:rPr>
              <w:t xml:space="preserve"> </w:t>
            </w:r>
            <w:r w:rsidR="000A5129" w:rsidRPr="008941DB">
              <w:rPr>
                <w:rFonts w:cs="Arial"/>
                <w:sz w:val="14"/>
                <w:szCs w:val="14"/>
                <w:lang w:val="es-US"/>
              </w:rPr>
              <w:t>Administración Nacional de Cooperativas de Crédito</w:t>
            </w:r>
          </w:p>
          <w:p w:rsidR="00F26A58" w:rsidRPr="008941DB" w:rsidRDefault="000A5129">
            <w:pPr>
              <w:rPr>
                <w:rFonts w:cs="Arial"/>
                <w:sz w:val="14"/>
                <w:szCs w:val="14"/>
                <w:lang w:val="es-US"/>
              </w:rPr>
            </w:pPr>
            <w:r w:rsidRPr="008941DB">
              <w:rPr>
                <w:rFonts w:cs="Arial"/>
                <w:sz w:val="14"/>
                <w:szCs w:val="14"/>
                <w:lang w:val="es-US"/>
              </w:rPr>
              <w:t xml:space="preserve">Oficina de Protección al Consumidor </w:t>
            </w:r>
            <w:r w:rsidR="00AA585F" w:rsidRPr="008941DB">
              <w:rPr>
                <w:rFonts w:cs="Arial"/>
                <w:sz w:val="14"/>
                <w:szCs w:val="14"/>
                <w:lang w:val="es-US"/>
              </w:rPr>
              <w:t>(OCP)</w:t>
            </w:r>
          </w:p>
          <w:p w:rsidR="00F26A58" w:rsidRPr="008941DB" w:rsidRDefault="00865DEC">
            <w:pPr>
              <w:rPr>
                <w:rFonts w:cs="Arial"/>
                <w:sz w:val="14"/>
                <w:szCs w:val="14"/>
                <w:lang w:val="es-US"/>
              </w:rPr>
            </w:pPr>
            <w:r w:rsidRPr="008941DB">
              <w:rPr>
                <w:rFonts w:cs="Arial"/>
                <w:sz w:val="14"/>
                <w:szCs w:val="14"/>
                <w:lang w:val="es-US"/>
              </w:rPr>
              <w:t>División</w:t>
            </w:r>
            <w:r w:rsidR="006333D8" w:rsidRPr="008941DB">
              <w:rPr>
                <w:rFonts w:cs="Arial"/>
                <w:sz w:val="14"/>
                <w:szCs w:val="14"/>
                <w:lang w:val="es-US"/>
              </w:rPr>
              <w:t xml:space="preserve"> de Cumplimiento del Consumidor y Alcance</w:t>
            </w:r>
            <w:r w:rsidR="00AA585F" w:rsidRPr="008941DB">
              <w:rPr>
                <w:rFonts w:cs="Arial"/>
                <w:sz w:val="14"/>
                <w:szCs w:val="14"/>
                <w:lang w:val="es-US"/>
              </w:rPr>
              <w:t xml:space="preserve"> (DCCO)</w:t>
            </w:r>
          </w:p>
          <w:p w:rsidR="00F26A58" w:rsidRPr="008941DB" w:rsidRDefault="00AA585F">
            <w:pPr>
              <w:rPr>
                <w:rFonts w:cs="Arial"/>
                <w:sz w:val="14"/>
                <w:szCs w:val="14"/>
                <w:lang w:val="es-US"/>
              </w:rPr>
            </w:pPr>
            <w:r w:rsidRPr="008941DB">
              <w:rPr>
                <w:rFonts w:cs="Arial"/>
                <w:sz w:val="14"/>
                <w:szCs w:val="14"/>
                <w:lang w:val="es-US"/>
              </w:rPr>
              <w:t xml:space="preserve">1775 </w:t>
            </w:r>
            <w:proofErr w:type="spellStart"/>
            <w:r w:rsidRPr="008941DB">
              <w:rPr>
                <w:rFonts w:cs="Arial"/>
                <w:sz w:val="14"/>
                <w:szCs w:val="14"/>
                <w:lang w:val="es-US"/>
              </w:rPr>
              <w:t>Duke</w:t>
            </w:r>
            <w:proofErr w:type="spellEnd"/>
            <w:r w:rsidRPr="008941DB">
              <w:rPr>
                <w:rFonts w:cs="Arial"/>
                <w:sz w:val="14"/>
                <w:szCs w:val="14"/>
                <w:lang w:val="es-US"/>
              </w:rPr>
              <w:t xml:space="preserve"> Street</w:t>
            </w:r>
          </w:p>
          <w:p w:rsidR="00F26A58" w:rsidRPr="008941DB" w:rsidRDefault="00AA585F">
            <w:pPr>
              <w:rPr>
                <w:rFonts w:cs="Arial"/>
                <w:sz w:val="14"/>
                <w:szCs w:val="14"/>
                <w:lang w:val="es-US"/>
              </w:rPr>
            </w:pPr>
            <w:r w:rsidRPr="008941DB">
              <w:rPr>
                <w:rFonts w:cs="Arial"/>
                <w:sz w:val="14"/>
                <w:szCs w:val="14"/>
                <w:lang w:val="es-US"/>
              </w:rPr>
              <w:t>Alexandria, VA 22314</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172406">
            <w:pPr>
              <w:widowControl w:val="0"/>
              <w:rPr>
                <w:rFonts w:cs="Arial"/>
                <w:sz w:val="14"/>
                <w:szCs w:val="14"/>
                <w:lang w:val="es-US"/>
              </w:rPr>
            </w:pPr>
            <w:r>
              <w:rPr>
                <w:rFonts w:cs="Arial"/>
                <w:sz w:val="14"/>
                <w:szCs w:val="14"/>
                <w:lang w:val="es-US"/>
              </w:rPr>
              <w:t xml:space="preserve">3. </w:t>
            </w:r>
            <w:r w:rsidR="001F204F" w:rsidRPr="008941DB">
              <w:rPr>
                <w:rFonts w:cs="Arial"/>
                <w:sz w:val="14"/>
                <w:szCs w:val="14"/>
                <w:lang w:val="es-US"/>
              </w:rPr>
              <w:t>Compañías aéreas</w:t>
            </w:r>
            <w:r w:rsidR="008669A0" w:rsidRPr="008941DB">
              <w:rPr>
                <w:rFonts w:cs="Arial"/>
                <w:sz w:val="14"/>
                <w:szCs w:val="14"/>
                <w:lang w:val="es-US"/>
              </w:rPr>
              <w:t>.</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rPr>
                <w:rFonts w:cs="Arial"/>
                <w:sz w:val="14"/>
                <w:szCs w:val="14"/>
                <w:lang w:val="es-US"/>
              </w:rPr>
            </w:pPr>
          </w:p>
          <w:p w:rsidR="00F26A58" w:rsidRPr="008941DB" w:rsidRDefault="00C711D3">
            <w:pPr>
              <w:rPr>
                <w:rFonts w:cs="Arial"/>
                <w:sz w:val="14"/>
                <w:szCs w:val="14"/>
                <w:lang w:val="es-US"/>
              </w:rPr>
            </w:pPr>
            <w:r w:rsidRPr="008941DB">
              <w:rPr>
                <w:rFonts w:cs="Arial"/>
                <w:sz w:val="14"/>
                <w:szCs w:val="14"/>
                <w:lang w:val="es-US"/>
              </w:rPr>
              <w:t xml:space="preserve">Consejero </w:t>
            </w:r>
            <w:r w:rsidR="008941DB" w:rsidRPr="008941DB">
              <w:rPr>
                <w:rFonts w:cs="Arial"/>
                <w:sz w:val="14"/>
                <w:szCs w:val="14"/>
                <w:lang w:val="es-US"/>
              </w:rPr>
              <w:t>G</w:t>
            </w:r>
            <w:r w:rsidRPr="008941DB">
              <w:rPr>
                <w:rFonts w:cs="Arial"/>
                <w:sz w:val="14"/>
                <w:szCs w:val="14"/>
                <w:lang w:val="es-US"/>
              </w:rPr>
              <w:t xml:space="preserve">eneral </w:t>
            </w:r>
            <w:r w:rsidR="008941DB" w:rsidRPr="008941DB">
              <w:rPr>
                <w:rFonts w:cs="Arial"/>
                <w:sz w:val="14"/>
                <w:szCs w:val="14"/>
                <w:lang w:val="es-US"/>
              </w:rPr>
              <w:t>A</w:t>
            </w:r>
            <w:r w:rsidRPr="008941DB">
              <w:rPr>
                <w:rFonts w:cs="Arial"/>
                <w:sz w:val="14"/>
                <w:szCs w:val="14"/>
                <w:lang w:val="es-US"/>
              </w:rPr>
              <w:t>djunto de Implementación y Procedimientos de Aviación</w:t>
            </w:r>
          </w:p>
          <w:p w:rsidR="0015296C" w:rsidRPr="008941DB" w:rsidRDefault="0015296C">
            <w:pPr>
              <w:rPr>
                <w:rFonts w:cs="Arial"/>
                <w:sz w:val="14"/>
                <w:szCs w:val="14"/>
                <w:lang w:val="es-US"/>
              </w:rPr>
            </w:pPr>
            <w:r w:rsidRPr="008941DB">
              <w:rPr>
                <w:rFonts w:cs="Arial"/>
                <w:sz w:val="14"/>
                <w:szCs w:val="14"/>
                <w:lang w:val="es-US"/>
              </w:rPr>
              <w:t>Departamento de Transporte</w:t>
            </w:r>
          </w:p>
          <w:p w:rsidR="00F26A58" w:rsidRPr="008941DB" w:rsidRDefault="00AA585F">
            <w:pPr>
              <w:rPr>
                <w:rFonts w:cs="Arial"/>
                <w:sz w:val="14"/>
                <w:szCs w:val="14"/>
                <w:lang w:val="es-US"/>
              </w:rPr>
            </w:pPr>
            <w:r w:rsidRPr="008941DB">
              <w:rPr>
                <w:rFonts w:cs="Arial"/>
                <w:sz w:val="14"/>
                <w:szCs w:val="14"/>
                <w:lang w:val="es-US"/>
              </w:rPr>
              <w:t xml:space="preserve">400 </w:t>
            </w:r>
            <w:proofErr w:type="spellStart"/>
            <w:r w:rsidRPr="008941DB">
              <w:rPr>
                <w:rFonts w:cs="Arial"/>
                <w:sz w:val="14"/>
                <w:szCs w:val="14"/>
                <w:lang w:val="es-US"/>
              </w:rPr>
              <w:t>Seventh</w:t>
            </w:r>
            <w:proofErr w:type="spellEnd"/>
            <w:r w:rsidRPr="008941DB">
              <w:rPr>
                <w:rFonts w:cs="Arial"/>
                <w:sz w:val="14"/>
                <w:szCs w:val="14"/>
                <w:lang w:val="es-US"/>
              </w:rPr>
              <w:t xml:space="preserve"> Street SW</w:t>
            </w:r>
          </w:p>
          <w:p w:rsidR="00F26A58" w:rsidRPr="008941DB" w:rsidRDefault="00AA585F">
            <w:pPr>
              <w:rPr>
                <w:rFonts w:cs="Arial"/>
                <w:sz w:val="14"/>
                <w:szCs w:val="14"/>
                <w:lang w:val="es-US"/>
              </w:rPr>
            </w:pPr>
            <w:r w:rsidRPr="008941DB">
              <w:rPr>
                <w:rFonts w:cs="Arial"/>
                <w:sz w:val="14"/>
                <w:szCs w:val="14"/>
                <w:lang w:val="es-US"/>
              </w:rPr>
              <w:t>Washington, DC 20590</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AA585F" w:rsidP="00172406">
            <w:pPr>
              <w:widowControl w:val="0"/>
              <w:rPr>
                <w:rFonts w:cs="Arial"/>
                <w:sz w:val="14"/>
                <w:szCs w:val="14"/>
                <w:lang w:val="es-US"/>
              </w:rPr>
            </w:pPr>
            <w:r w:rsidRPr="008941DB">
              <w:rPr>
                <w:rFonts w:cs="Arial"/>
                <w:sz w:val="14"/>
                <w:szCs w:val="14"/>
                <w:lang w:val="es-US"/>
              </w:rPr>
              <w:t xml:space="preserve">4. </w:t>
            </w:r>
            <w:r w:rsidR="001F204F" w:rsidRPr="008941DB">
              <w:rPr>
                <w:rFonts w:cs="Arial"/>
                <w:sz w:val="14"/>
                <w:szCs w:val="14"/>
                <w:lang w:val="es-US"/>
              </w:rPr>
              <w:t>Acreedores sujetos a la Junta de Transporte Terrestre.</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rPr>
                <w:rFonts w:cs="Arial"/>
                <w:sz w:val="14"/>
                <w:szCs w:val="14"/>
                <w:lang w:val="es-US"/>
              </w:rPr>
            </w:pPr>
          </w:p>
          <w:p w:rsidR="00F26A58" w:rsidRPr="008941DB" w:rsidRDefault="000A5129">
            <w:pPr>
              <w:rPr>
                <w:rFonts w:cs="Arial"/>
                <w:sz w:val="14"/>
                <w:szCs w:val="14"/>
                <w:lang w:val="es-US"/>
              </w:rPr>
            </w:pPr>
            <w:r w:rsidRPr="008941DB">
              <w:rPr>
                <w:rFonts w:cs="Arial"/>
                <w:sz w:val="14"/>
                <w:szCs w:val="14"/>
                <w:lang w:val="es-US"/>
              </w:rPr>
              <w:t>Oficina de Procedimientos</w:t>
            </w:r>
            <w:r w:rsidR="00AA585F" w:rsidRPr="008941DB">
              <w:rPr>
                <w:rFonts w:cs="Arial"/>
                <w:sz w:val="14"/>
                <w:szCs w:val="14"/>
                <w:lang w:val="es-US"/>
              </w:rPr>
              <w:t xml:space="preserve">, </w:t>
            </w:r>
            <w:r w:rsidRPr="008941DB">
              <w:rPr>
                <w:rFonts w:cs="Arial"/>
                <w:sz w:val="14"/>
                <w:szCs w:val="14"/>
                <w:lang w:val="es-US"/>
              </w:rPr>
              <w:t>Comisión de Transporte Terrestre</w:t>
            </w:r>
          </w:p>
          <w:p w:rsidR="000A5129" w:rsidRPr="008941DB" w:rsidRDefault="000A5129">
            <w:pPr>
              <w:rPr>
                <w:rFonts w:cs="Arial"/>
                <w:sz w:val="14"/>
                <w:szCs w:val="14"/>
                <w:lang w:val="es-US"/>
              </w:rPr>
            </w:pPr>
            <w:r w:rsidRPr="008941DB">
              <w:rPr>
                <w:rFonts w:cs="Arial"/>
                <w:sz w:val="14"/>
                <w:szCs w:val="14"/>
                <w:lang w:val="es-US"/>
              </w:rPr>
              <w:t>Departamento de Transporte</w:t>
            </w:r>
          </w:p>
          <w:p w:rsidR="00F26A58" w:rsidRPr="008941DB" w:rsidRDefault="00AA585F">
            <w:pPr>
              <w:rPr>
                <w:rFonts w:cs="Arial"/>
                <w:sz w:val="14"/>
                <w:szCs w:val="14"/>
                <w:lang w:val="es-US"/>
              </w:rPr>
            </w:pPr>
            <w:r w:rsidRPr="008941DB">
              <w:rPr>
                <w:rFonts w:cs="Arial"/>
                <w:sz w:val="14"/>
                <w:szCs w:val="14"/>
                <w:lang w:val="es-US"/>
              </w:rPr>
              <w:t>1925 K Street NW</w:t>
            </w:r>
          </w:p>
          <w:p w:rsidR="00F26A58" w:rsidRPr="008941DB" w:rsidRDefault="00AA585F">
            <w:pPr>
              <w:rPr>
                <w:rFonts w:cs="Arial"/>
                <w:sz w:val="14"/>
                <w:szCs w:val="14"/>
                <w:lang w:val="es-US"/>
              </w:rPr>
            </w:pPr>
            <w:r w:rsidRPr="008941DB">
              <w:rPr>
                <w:rFonts w:cs="Arial"/>
                <w:sz w:val="14"/>
                <w:szCs w:val="14"/>
                <w:lang w:val="es-US"/>
              </w:rPr>
              <w:t>Washington, DC 20423</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172406">
            <w:pPr>
              <w:widowControl w:val="0"/>
              <w:rPr>
                <w:rFonts w:cs="Arial"/>
                <w:sz w:val="14"/>
                <w:szCs w:val="14"/>
                <w:lang w:val="es-US"/>
              </w:rPr>
            </w:pPr>
            <w:r>
              <w:rPr>
                <w:rFonts w:cs="Arial"/>
                <w:sz w:val="14"/>
                <w:szCs w:val="14"/>
                <w:lang w:val="es-US"/>
              </w:rPr>
              <w:t xml:space="preserve">5. </w:t>
            </w:r>
            <w:r w:rsidR="001F204F" w:rsidRPr="008941DB">
              <w:rPr>
                <w:rFonts w:cs="Arial"/>
                <w:sz w:val="14"/>
                <w:szCs w:val="14"/>
                <w:lang w:val="es-US"/>
              </w:rPr>
              <w:t>Acreedores sujetos a la Ley de Empacadoras y Corrales Ganaderos.</w:t>
            </w:r>
          </w:p>
        </w:tc>
        <w:tc>
          <w:tcPr>
            <w:tcW w:w="4545" w:type="dxa"/>
            <w:tcBorders>
              <w:top w:val="outset" w:sz="6" w:space="0" w:color="auto"/>
              <w:left w:val="outset" w:sz="6" w:space="0" w:color="auto"/>
              <w:bottom w:val="outset" w:sz="6" w:space="0" w:color="auto"/>
              <w:right w:val="outset" w:sz="6" w:space="0" w:color="auto"/>
            </w:tcBorders>
          </w:tcPr>
          <w:p w:rsidR="00920EF8" w:rsidRPr="008941DB" w:rsidRDefault="00920EF8" w:rsidP="00FF688E">
            <w:pPr>
              <w:rPr>
                <w:rFonts w:cs="Arial"/>
                <w:sz w:val="14"/>
                <w:szCs w:val="14"/>
                <w:lang w:val="es-US"/>
              </w:rPr>
            </w:pPr>
          </w:p>
          <w:p w:rsidR="00FF688E" w:rsidRPr="008941DB" w:rsidRDefault="00FF688E" w:rsidP="00FF688E">
            <w:pPr>
              <w:rPr>
                <w:rFonts w:cs="Arial"/>
                <w:sz w:val="14"/>
                <w:szCs w:val="14"/>
                <w:lang w:val="es-US"/>
              </w:rPr>
            </w:pPr>
            <w:r w:rsidRPr="008941DB">
              <w:rPr>
                <w:rFonts w:cs="Arial"/>
                <w:sz w:val="14"/>
                <w:szCs w:val="14"/>
                <w:lang w:val="es-US"/>
              </w:rPr>
              <w:t>Supervisor más cercano de empacadoras y área de</w:t>
            </w:r>
          </w:p>
          <w:p w:rsidR="00F26A58" w:rsidRPr="008941DB" w:rsidRDefault="00FF688E">
            <w:pPr>
              <w:rPr>
                <w:rFonts w:cs="Arial"/>
                <w:sz w:val="14"/>
                <w:szCs w:val="14"/>
                <w:lang w:val="es-US"/>
              </w:rPr>
            </w:pPr>
            <w:r w:rsidRPr="008941DB">
              <w:rPr>
                <w:rFonts w:cs="Arial"/>
                <w:sz w:val="14"/>
                <w:szCs w:val="14"/>
                <w:lang w:val="es-US"/>
              </w:rPr>
              <w:t>administración de corrales</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172406">
            <w:pPr>
              <w:widowControl w:val="0"/>
              <w:rPr>
                <w:rFonts w:cs="Arial"/>
                <w:sz w:val="14"/>
                <w:szCs w:val="14"/>
                <w:lang w:val="es-US"/>
              </w:rPr>
            </w:pPr>
            <w:r>
              <w:rPr>
                <w:rFonts w:cs="Arial"/>
                <w:sz w:val="14"/>
                <w:szCs w:val="14"/>
                <w:lang w:val="es-US"/>
              </w:rPr>
              <w:t>6.</w:t>
            </w:r>
            <w:r w:rsidR="00AA585F" w:rsidRPr="008941DB">
              <w:rPr>
                <w:rFonts w:cs="Arial"/>
                <w:sz w:val="14"/>
                <w:szCs w:val="14"/>
                <w:lang w:val="es-US"/>
              </w:rPr>
              <w:t xml:space="preserve"> </w:t>
            </w:r>
            <w:r w:rsidR="001F204F" w:rsidRPr="008941DB">
              <w:rPr>
                <w:rFonts w:cs="Arial"/>
                <w:sz w:val="14"/>
                <w:szCs w:val="14"/>
                <w:lang w:val="es-US"/>
              </w:rPr>
              <w:t>Pequeñas empresas de inversión empresarial.</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rPr>
                <w:rFonts w:cs="Arial"/>
                <w:sz w:val="14"/>
                <w:szCs w:val="14"/>
                <w:lang w:val="es-US"/>
              </w:rPr>
            </w:pPr>
          </w:p>
          <w:p w:rsidR="00F26A58" w:rsidRPr="008941DB" w:rsidRDefault="006333D8">
            <w:pPr>
              <w:rPr>
                <w:rFonts w:cs="Arial"/>
                <w:sz w:val="14"/>
                <w:szCs w:val="14"/>
                <w:lang w:val="es-US"/>
              </w:rPr>
            </w:pPr>
            <w:r w:rsidRPr="008941DB">
              <w:rPr>
                <w:rFonts w:cs="Arial"/>
                <w:sz w:val="14"/>
                <w:szCs w:val="14"/>
                <w:lang w:val="es-US"/>
              </w:rPr>
              <w:t xml:space="preserve">Subadministrador </w:t>
            </w:r>
            <w:r w:rsidR="008941DB" w:rsidRPr="008941DB">
              <w:rPr>
                <w:rFonts w:cs="Arial"/>
                <w:sz w:val="14"/>
                <w:szCs w:val="14"/>
                <w:lang w:val="es-US"/>
              </w:rPr>
              <w:t>A</w:t>
            </w:r>
            <w:r w:rsidRPr="008941DB">
              <w:rPr>
                <w:rFonts w:cs="Arial"/>
                <w:sz w:val="14"/>
                <w:szCs w:val="14"/>
                <w:lang w:val="es-US"/>
              </w:rPr>
              <w:t xml:space="preserve">sociado para el </w:t>
            </w:r>
            <w:r w:rsidR="008941DB" w:rsidRPr="008941DB">
              <w:rPr>
                <w:rFonts w:cs="Arial"/>
                <w:sz w:val="14"/>
                <w:szCs w:val="14"/>
                <w:lang w:val="es-US"/>
              </w:rPr>
              <w:t>A</w:t>
            </w:r>
            <w:r w:rsidRPr="008941DB">
              <w:rPr>
                <w:rFonts w:cs="Arial"/>
                <w:sz w:val="14"/>
                <w:szCs w:val="14"/>
                <w:lang w:val="es-US"/>
              </w:rPr>
              <w:t xml:space="preserve">cceso al </w:t>
            </w:r>
            <w:r w:rsidR="008941DB" w:rsidRPr="008941DB">
              <w:rPr>
                <w:rFonts w:cs="Arial"/>
                <w:sz w:val="14"/>
                <w:szCs w:val="14"/>
                <w:lang w:val="es-US"/>
              </w:rPr>
              <w:t>C</w:t>
            </w:r>
            <w:r w:rsidRPr="008941DB">
              <w:rPr>
                <w:rFonts w:cs="Arial"/>
                <w:sz w:val="14"/>
                <w:szCs w:val="14"/>
                <w:lang w:val="es-US"/>
              </w:rPr>
              <w:t>apital</w:t>
            </w:r>
          </w:p>
          <w:p w:rsidR="00F26A58" w:rsidRPr="008941DB" w:rsidRDefault="006333D8">
            <w:pPr>
              <w:rPr>
                <w:rFonts w:cs="Arial"/>
                <w:sz w:val="14"/>
                <w:szCs w:val="14"/>
                <w:lang w:val="es-US"/>
              </w:rPr>
            </w:pPr>
            <w:r w:rsidRPr="008941DB">
              <w:rPr>
                <w:rFonts w:cs="Arial"/>
                <w:sz w:val="14"/>
                <w:szCs w:val="14"/>
                <w:lang w:val="es-US"/>
              </w:rPr>
              <w:t>Administración de Pequeñas Empresas de Estados Unidos</w:t>
            </w:r>
          </w:p>
          <w:p w:rsidR="00F26A58" w:rsidRPr="00172406" w:rsidRDefault="00AA585F">
            <w:pPr>
              <w:rPr>
                <w:rFonts w:cs="Arial"/>
                <w:sz w:val="14"/>
                <w:szCs w:val="14"/>
              </w:rPr>
            </w:pPr>
            <w:r w:rsidRPr="00172406">
              <w:rPr>
                <w:rFonts w:cs="Arial"/>
                <w:sz w:val="14"/>
                <w:szCs w:val="14"/>
              </w:rPr>
              <w:t>409 Third Street, SW, 8th Floor</w:t>
            </w:r>
          </w:p>
          <w:p w:rsidR="00F26A58" w:rsidRPr="00172406" w:rsidRDefault="00AA585F">
            <w:pPr>
              <w:rPr>
                <w:rFonts w:cs="Arial"/>
                <w:sz w:val="14"/>
                <w:szCs w:val="14"/>
              </w:rPr>
            </w:pPr>
            <w:r w:rsidRPr="00172406">
              <w:rPr>
                <w:rFonts w:cs="Arial"/>
                <w:sz w:val="14"/>
                <w:szCs w:val="14"/>
              </w:rPr>
              <w:t>Washington, DC 20416</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172406" w:rsidRDefault="00F26A58">
            <w:pPr>
              <w:widowControl w:val="0"/>
              <w:rPr>
                <w:rFonts w:cs="Arial"/>
                <w:sz w:val="14"/>
                <w:szCs w:val="14"/>
              </w:rPr>
            </w:pPr>
          </w:p>
          <w:p w:rsidR="00F26A58" w:rsidRPr="008941DB" w:rsidRDefault="00172406">
            <w:pPr>
              <w:widowControl w:val="0"/>
              <w:rPr>
                <w:rFonts w:cs="Arial"/>
                <w:sz w:val="14"/>
                <w:szCs w:val="14"/>
                <w:lang w:val="es-US"/>
              </w:rPr>
            </w:pPr>
            <w:r>
              <w:rPr>
                <w:rFonts w:cs="Arial"/>
                <w:sz w:val="14"/>
                <w:szCs w:val="14"/>
                <w:lang w:val="es-US"/>
              </w:rPr>
              <w:t xml:space="preserve">7. </w:t>
            </w:r>
            <w:r w:rsidR="001F204F" w:rsidRPr="008941DB">
              <w:rPr>
                <w:rFonts w:cs="Arial"/>
                <w:sz w:val="14"/>
                <w:szCs w:val="14"/>
                <w:lang w:val="es-US"/>
              </w:rPr>
              <w:t>Agentes y distribuidores.</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rPr>
                <w:rFonts w:cs="Arial"/>
                <w:sz w:val="14"/>
                <w:szCs w:val="14"/>
                <w:lang w:val="es-US"/>
              </w:rPr>
            </w:pPr>
          </w:p>
          <w:p w:rsidR="00F26A58" w:rsidRPr="008941DB" w:rsidRDefault="00D72CC8">
            <w:pPr>
              <w:rPr>
                <w:rFonts w:cs="Arial"/>
                <w:sz w:val="14"/>
                <w:szCs w:val="14"/>
                <w:lang w:val="es-US"/>
              </w:rPr>
            </w:pPr>
            <w:r w:rsidRPr="008941DB">
              <w:rPr>
                <w:rFonts w:cs="Arial"/>
                <w:sz w:val="14"/>
                <w:szCs w:val="14"/>
                <w:lang w:val="es-US"/>
              </w:rPr>
              <w:t>Comisión de Bolsa y Valores</w:t>
            </w:r>
          </w:p>
          <w:p w:rsidR="00F26A58" w:rsidRPr="008941DB" w:rsidRDefault="00AA585F">
            <w:pPr>
              <w:rPr>
                <w:rFonts w:cs="Arial"/>
                <w:sz w:val="14"/>
                <w:szCs w:val="14"/>
                <w:lang w:val="es-US"/>
              </w:rPr>
            </w:pPr>
            <w:r w:rsidRPr="008941DB">
              <w:rPr>
                <w:rFonts w:cs="Arial"/>
                <w:sz w:val="14"/>
                <w:szCs w:val="14"/>
                <w:lang w:val="es-US"/>
              </w:rPr>
              <w:t xml:space="preserve">100 F </w:t>
            </w:r>
            <w:proofErr w:type="spellStart"/>
            <w:r w:rsidRPr="008941DB">
              <w:rPr>
                <w:rFonts w:cs="Arial"/>
                <w:sz w:val="14"/>
                <w:szCs w:val="14"/>
                <w:lang w:val="es-US"/>
              </w:rPr>
              <w:t>St</w:t>
            </w:r>
            <w:proofErr w:type="spellEnd"/>
            <w:r w:rsidRPr="008941DB">
              <w:rPr>
                <w:rFonts w:cs="Arial"/>
                <w:sz w:val="14"/>
                <w:szCs w:val="14"/>
                <w:lang w:val="es-US"/>
              </w:rPr>
              <w:t xml:space="preserve"> NE</w:t>
            </w:r>
          </w:p>
          <w:p w:rsidR="00F26A58" w:rsidRPr="008941DB" w:rsidRDefault="00AA585F">
            <w:pPr>
              <w:rPr>
                <w:rFonts w:cs="Arial"/>
                <w:sz w:val="14"/>
                <w:szCs w:val="14"/>
                <w:lang w:val="es-US"/>
              </w:rPr>
            </w:pPr>
            <w:r w:rsidRPr="008941DB">
              <w:rPr>
                <w:rFonts w:cs="Arial"/>
                <w:sz w:val="14"/>
                <w:szCs w:val="14"/>
                <w:lang w:val="es-US"/>
              </w:rPr>
              <w:t>Washington, DC 20549</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172406" w:rsidP="001F204F">
            <w:pPr>
              <w:widowControl w:val="0"/>
              <w:rPr>
                <w:rFonts w:cs="Arial"/>
                <w:sz w:val="14"/>
                <w:szCs w:val="14"/>
                <w:lang w:val="es-US"/>
              </w:rPr>
            </w:pPr>
            <w:r>
              <w:rPr>
                <w:rFonts w:cs="Arial"/>
                <w:sz w:val="14"/>
                <w:szCs w:val="14"/>
                <w:lang w:val="es-US"/>
              </w:rPr>
              <w:t xml:space="preserve">8. </w:t>
            </w:r>
            <w:r w:rsidR="001F204F" w:rsidRPr="008941DB">
              <w:rPr>
                <w:rFonts w:cs="Arial"/>
                <w:sz w:val="14"/>
                <w:szCs w:val="14"/>
                <w:lang w:val="es-US"/>
              </w:rPr>
              <w:t xml:space="preserve">Bancos federales regionales, </w:t>
            </w:r>
            <w:r w:rsidR="00865DEC">
              <w:rPr>
                <w:rFonts w:cs="Arial"/>
                <w:sz w:val="14"/>
                <w:szCs w:val="14"/>
                <w:lang w:val="es-US"/>
              </w:rPr>
              <w:t>sociedades</w:t>
            </w:r>
            <w:r w:rsidR="001F204F" w:rsidRPr="008941DB">
              <w:rPr>
                <w:rFonts w:cs="Arial"/>
                <w:sz w:val="14"/>
                <w:szCs w:val="14"/>
                <w:lang w:val="es-US"/>
              </w:rPr>
              <w:t xml:space="preserve"> bancarias regionales federales, bancos federales de crédito intermediarios y </w:t>
            </w:r>
            <w:r w:rsidR="00865DEC">
              <w:rPr>
                <w:rFonts w:cs="Arial"/>
                <w:sz w:val="14"/>
                <w:szCs w:val="14"/>
                <w:lang w:val="es-US"/>
              </w:rPr>
              <w:t>sociedades</w:t>
            </w:r>
            <w:r w:rsidR="001F204F" w:rsidRPr="008941DB">
              <w:rPr>
                <w:rFonts w:cs="Arial"/>
                <w:sz w:val="14"/>
                <w:szCs w:val="14"/>
                <w:lang w:val="es-US"/>
              </w:rPr>
              <w:t xml:space="preserve"> de crédito de producción.</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rPr>
                <w:rFonts w:cs="Arial"/>
                <w:sz w:val="14"/>
                <w:szCs w:val="14"/>
                <w:lang w:val="es-US"/>
              </w:rPr>
            </w:pPr>
          </w:p>
          <w:p w:rsidR="00F26A58" w:rsidRPr="008941DB" w:rsidRDefault="00D72CC8">
            <w:pPr>
              <w:rPr>
                <w:rFonts w:cs="Arial"/>
                <w:sz w:val="14"/>
                <w:szCs w:val="14"/>
                <w:lang w:val="es-US"/>
              </w:rPr>
            </w:pPr>
            <w:r w:rsidRPr="008941DB">
              <w:rPr>
                <w:rFonts w:cs="Arial"/>
                <w:sz w:val="14"/>
                <w:szCs w:val="14"/>
                <w:lang w:val="es-US"/>
              </w:rPr>
              <w:t>Administración de Crédito Agrícola</w:t>
            </w:r>
          </w:p>
          <w:p w:rsidR="00F26A58" w:rsidRPr="008941DB" w:rsidRDefault="00AA585F">
            <w:pPr>
              <w:rPr>
                <w:rFonts w:cs="Arial"/>
                <w:sz w:val="14"/>
                <w:szCs w:val="14"/>
                <w:lang w:val="es-US"/>
              </w:rPr>
            </w:pPr>
            <w:r w:rsidRPr="008941DB">
              <w:rPr>
                <w:rFonts w:cs="Arial"/>
                <w:sz w:val="14"/>
                <w:szCs w:val="14"/>
                <w:lang w:val="es-US"/>
              </w:rPr>
              <w:t xml:space="preserve">1501 </w:t>
            </w:r>
            <w:proofErr w:type="spellStart"/>
            <w:r w:rsidRPr="008941DB">
              <w:rPr>
                <w:rFonts w:cs="Arial"/>
                <w:sz w:val="14"/>
                <w:szCs w:val="14"/>
                <w:lang w:val="es-US"/>
              </w:rPr>
              <w:t>Farm</w:t>
            </w:r>
            <w:proofErr w:type="spellEnd"/>
            <w:r w:rsidRPr="008941DB">
              <w:rPr>
                <w:rFonts w:cs="Arial"/>
                <w:sz w:val="14"/>
                <w:szCs w:val="14"/>
                <w:lang w:val="es-US"/>
              </w:rPr>
              <w:t xml:space="preserve"> </w:t>
            </w:r>
            <w:proofErr w:type="spellStart"/>
            <w:r w:rsidRPr="008941DB">
              <w:rPr>
                <w:rFonts w:cs="Arial"/>
                <w:sz w:val="14"/>
                <w:szCs w:val="14"/>
                <w:lang w:val="es-US"/>
              </w:rPr>
              <w:t>Credit</w:t>
            </w:r>
            <w:proofErr w:type="spellEnd"/>
            <w:r w:rsidRPr="008941DB">
              <w:rPr>
                <w:rFonts w:cs="Arial"/>
                <w:sz w:val="14"/>
                <w:szCs w:val="14"/>
                <w:lang w:val="es-US"/>
              </w:rPr>
              <w:t xml:space="preserve"> Drive</w:t>
            </w:r>
          </w:p>
          <w:p w:rsidR="00F26A58" w:rsidRPr="008941DB" w:rsidRDefault="00AA585F">
            <w:pPr>
              <w:rPr>
                <w:rFonts w:cs="Arial"/>
                <w:sz w:val="14"/>
                <w:szCs w:val="14"/>
                <w:lang w:val="es-US"/>
              </w:rPr>
            </w:pPr>
            <w:proofErr w:type="spellStart"/>
            <w:r w:rsidRPr="008941DB">
              <w:rPr>
                <w:rFonts w:cs="Arial"/>
                <w:sz w:val="14"/>
                <w:szCs w:val="14"/>
                <w:lang w:val="es-US"/>
              </w:rPr>
              <w:t>McLean</w:t>
            </w:r>
            <w:proofErr w:type="spellEnd"/>
            <w:r w:rsidRPr="008941DB">
              <w:rPr>
                <w:rFonts w:cs="Arial"/>
                <w:sz w:val="14"/>
                <w:szCs w:val="14"/>
                <w:lang w:val="es-US"/>
              </w:rPr>
              <w:t>, VA 22102-5090</w:t>
            </w:r>
          </w:p>
        </w:tc>
      </w:tr>
      <w:tr w:rsidR="00F26A58" w:rsidRPr="008941DB">
        <w:trPr>
          <w:tblCellSpacing w:w="15" w:type="dxa"/>
        </w:trPr>
        <w:tc>
          <w:tcPr>
            <w:tcW w:w="553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172406">
            <w:pPr>
              <w:widowControl w:val="0"/>
              <w:rPr>
                <w:rFonts w:cs="Arial"/>
                <w:sz w:val="14"/>
                <w:szCs w:val="14"/>
                <w:lang w:val="es-US"/>
              </w:rPr>
            </w:pPr>
            <w:r>
              <w:rPr>
                <w:rFonts w:cs="Arial"/>
                <w:sz w:val="14"/>
                <w:szCs w:val="14"/>
                <w:lang w:val="es-US"/>
              </w:rPr>
              <w:t xml:space="preserve">9. </w:t>
            </w:r>
            <w:r w:rsidR="001F204F" w:rsidRPr="008941DB">
              <w:rPr>
                <w:rFonts w:cs="Arial"/>
                <w:sz w:val="14"/>
                <w:szCs w:val="14"/>
                <w:lang w:val="es-US"/>
              </w:rPr>
              <w:t>Minoristas, compañías financieras y los demás acreedores no mencionados anteriormente.</w:t>
            </w:r>
          </w:p>
        </w:tc>
        <w:tc>
          <w:tcPr>
            <w:tcW w:w="4545" w:type="dxa"/>
            <w:tcBorders>
              <w:top w:val="outset" w:sz="6" w:space="0" w:color="auto"/>
              <w:left w:val="outset" w:sz="6" w:space="0" w:color="auto"/>
              <w:bottom w:val="outset" w:sz="6" w:space="0" w:color="auto"/>
              <w:right w:val="outset" w:sz="6" w:space="0" w:color="auto"/>
            </w:tcBorders>
          </w:tcPr>
          <w:p w:rsidR="00F26A58" w:rsidRPr="008941DB" w:rsidRDefault="00F26A58">
            <w:pPr>
              <w:widowControl w:val="0"/>
              <w:rPr>
                <w:rFonts w:cs="Arial"/>
                <w:sz w:val="14"/>
                <w:szCs w:val="14"/>
                <w:lang w:val="es-US"/>
              </w:rPr>
            </w:pPr>
          </w:p>
          <w:p w:rsidR="00F26A58" w:rsidRPr="008941DB" w:rsidRDefault="00F31716">
            <w:pPr>
              <w:widowControl w:val="0"/>
              <w:rPr>
                <w:rFonts w:cs="Arial"/>
                <w:sz w:val="14"/>
                <w:szCs w:val="14"/>
                <w:lang w:val="es-US"/>
              </w:rPr>
            </w:pPr>
            <w:r w:rsidRPr="008941DB">
              <w:rPr>
                <w:rFonts w:cs="Arial"/>
                <w:sz w:val="14"/>
                <w:szCs w:val="14"/>
                <w:lang w:val="es-US"/>
              </w:rPr>
              <w:t>Oficina regional de la Comisión Federal de Comercio (FTC) en la región en la que trabaja el acreedor o la Comisión Federal de Comercio</w:t>
            </w:r>
            <w:r w:rsidR="00172406">
              <w:rPr>
                <w:rFonts w:cs="Arial"/>
                <w:sz w:val="14"/>
                <w:szCs w:val="14"/>
                <w:lang w:val="es-US"/>
              </w:rPr>
              <w:t xml:space="preserve">: </w:t>
            </w:r>
            <w:r w:rsidR="00920EF8" w:rsidRPr="008941DB">
              <w:rPr>
                <w:rFonts w:cs="Arial"/>
                <w:sz w:val="14"/>
                <w:szCs w:val="14"/>
                <w:lang w:val="es-US"/>
              </w:rPr>
              <w:t>Centro de Respuesta al Consumidor</w:t>
            </w:r>
            <w:r w:rsidR="00AA585F" w:rsidRPr="008941DB">
              <w:rPr>
                <w:rFonts w:cs="Arial"/>
                <w:sz w:val="14"/>
                <w:szCs w:val="14"/>
                <w:lang w:val="es-US"/>
              </w:rPr>
              <w:t xml:space="preserve"> – FCRA</w:t>
            </w:r>
          </w:p>
          <w:p w:rsidR="00F26A58" w:rsidRPr="008941DB" w:rsidRDefault="00AA585F">
            <w:pPr>
              <w:widowControl w:val="0"/>
              <w:rPr>
                <w:rFonts w:cs="Arial"/>
                <w:sz w:val="14"/>
                <w:szCs w:val="14"/>
                <w:lang w:val="es-US"/>
              </w:rPr>
            </w:pPr>
            <w:r w:rsidRPr="008941DB">
              <w:rPr>
                <w:rFonts w:cs="Arial"/>
                <w:sz w:val="14"/>
                <w:szCs w:val="14"/>
                <w:lang w:val="es-US"/>
              </w:rPr>
              <w:t>Washington, DC 20580</w:t>
            </w:r>
          </w:p>
          <w:p w:rsidR="00F26A58" w:rsidRPr="008941DB" w:rsidRDefault="00AA585F">
            <w:pPr>
              <w:rPr>
                <w:sz w:val="14"/>
                <w:szCs w:val="14"/>
                <w:lang w:val="es-US"/>
              </w:rPr>
            </w:pPr>
            <w:r w:rsidRPr="008941DB">
              <w:rPr>
                <w:sz w:val="14"/>
                <w:szCs w:val="14"/>
                <w:lang w:val="es-US"/>
              </w:rPr>
              <w:t>(877) 382-4357</w:t>
            </w:r>
          </w:p>
        </w:tc>
      </w:tr>
    </w:tbl>
    <w:p w:rsidR="00F26A58" w:rsidRPr="008941DB" w:rsidRDefault="00F26A58">
      <w:pPr>
        <w:rPr>
          <w:rFonts w:cs="Arial"/>
          <w:lang w:val="es-US"/>
        </w:rPr>
      </w:pPr>
    </w:p>
    <w:sectPr w:rsidR="00F26A58" w:rsidRPr="008941DB" w:rsidSect="00ED182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5F3" w:rsidRDefault="004845F3">
      <w:r>
        <w:separator/>
      </w:r>
    </w:p>
  </w:endnote>
  <w:endnote w:type="continuationSeparator" w:id="0">
    <w:p w:rsidR="004845F3" w:rsidRDefault="004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7A0" w:rsidRDefault="003837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A58" w:rsidRDefault="00F26A58">
    <w:pPr>
      <w:pStyle w:val="Piedepgina"/>
      <w:jc w:val="center"/>
    </w:pPr>
  </w:p>
  <w:p w:rsidR="00F26A58" w:rsidRDefault="00F26A5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A58" w:rsidRDefault="00F26A58">
    <w:pPr>
      <w:pStyle w:val="Piedepgina"/>
      <w:jc w:val="center"/>
      <w:rPr>
        <w:rStyle w:val="Nmerodepgina"/>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5F3" w:rsidRDefault="004845F3">
      <w:r>
        <w:separator/>
      </w:r>
    </w:p>
  </w:footnote>
  <w:footnote w:type="continuationSeparator" w:id="0">
    <w:p w:rsidR="004845F3" w:rsidRDefault="00484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7A0" w:rsidRDefault="003837A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7A0" w:rsidRDefault="003837A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7A0" w:rsidRDefault="003837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3613"/>
    <w:multiLevelType w:val="singleLevel"/>
    <w:tmpl w:val="053ACA8C"/>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1" w15:restartNumberingAfterBreak="0">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2DC2007"/>
    <w:multiLevelType w:val="hybridMultilevel"/>
    <w:tmpl w:val="CB24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58"/>
    <w:rsid w:val="000A5129"/>
    <w:rsid w:val="000A6AD6"/>
    <w:rsid w:val="00123E11"/>
    <w:rsid w:val="00124C84"/>
    <w:rsid w:val="0015296C"/>
    <w:rsid w:val="00172406"/>
    <w:rsid w:val="001A63DC"/>
    <w:rsid w:val="001B5ACE"/>
    <w:rsid w:val="001F204F"/>
    <w:rsid w:val="002A5615"/>
    <w:rsid w:val="002C278B"/>
    <w:rsid w:val="00312FA3"/>
    <w:rsid w:val="003705B4"/>
    <w:rsid w:val="003837A0"/>
    <w:rsid w:val="004124B0"/>
    <w:rsid w:val="00430B46"/>
    <w:rsid w:val="0046453A"/>
    <w:rsid w:val="004845F3"/>
    <w:rsid w:val="004A6A96"/>
    <w:rsid w:val="004D2F83"/>
    <w:rsid w:val="00507C7B"/>
    <w:rsid w:val="00562A83"/>
    <w:rsid w:val="005C118A"/>
    <w:rsid w:val="006333D8"/>
    <w:rsid w:val="006534CA"/>
    <w:rsid w:val="0069368D"/>
    <w:rsid w:val="006B0B99"/>
    <w:rsid w:val="006C19A2"/>
    <w:rsid w:val="006C4F0F"/>
    <w:rsid w:val="006E1D83"/>
    <w:rsid w:val="00757524"/>
    <w:rsid w:val="007641AA"/>
    <w:rsid w:val="00766C83"/>
    <w:rsid w:val="00781A4E"/>
    <w:rsid w:val="00790730"/>
    <w:rsid w:val="007F1EAC"/>
    <w:rsid w:val="00803D21"/>
    <w:rsid w:val="00847E81"/>
    <w:rsid w:val="00865DEC"/>
    <w:rsid w:val="008669A0"/>
    <w:rsid w:val="00892DEB"/>
    <w:rsid w:val="008941DB"/>
    <w:rsid w:val="008D6EA8"/>
    <w:rsid w:val="0090473C"/>
    <w:rsid w:val="00920EF8"/>
    <w:rsid w:val="00956E38"/>
    <w:rsid w:val="009C074B"/>
    <w:rsid w:val="00A25BF7"/>
    <w:rsid w:val="00AA585F"/>
    <w:rsid w:val="00B040EA"/>
    <w:rsid w:val="00BA6D01"/>
    <w:rsid w:val="00BA6DA3"/>
    <w:rsid w:val="00BD6337"/>
    <w:rsid w:val="00C711D3"/>
    <w:rsid w:val="00CD34B6"/>
    <w:rsid w:val="00D36822"/>
    <w:rsid w:val="00D43ECE"/>
    <w:rsid w:val="00D72CC8"/>
    <w:rsid w:val="00E408D4"/>
    <w:rsid w:val="00E64D7B"/>
    <w:rsid w:val="00EB1F88"/>
    <w:rsid w:val="00ED182E"/>
    <w:rsid w:val="00F247A5"/>
    <w:rsid w:val="00F26A58"/>
    <w:rsid w:val="00F31716"/>
    <w:rsid w:val="00F45DD3"/>
    <w:rsid w:val="00F46E59"/>
    <w:rsid w:val="00F56981"/>
    <w:rsid w:val="00F9709E"/>
    <w:rsid w:val="00FD12A3"/>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82E"/>
    <w:pPr>
      <w:spacing w:after="0" w:line="240" w:lineRule="auto"/>
    </w:pPr>
    <w:rPr>
      <w:rFonts w:ascii="Arial" w:hAnsi="Arial" w:cs="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D182E"/>
    <w:pPr>
      <w:widowControl w:val="0"/>
      <w:spacing w:after="240"/>
      <w:ind w:firstLine="720"/>
    </w:pPr>
  </w:style>
  <w:style w:type="character" w:customStyle="1" w:styleId="TextoindependienteCar">
    <w:name w:val="Texto independiente Car"/>
    <w:basedOn w:val="Fuentedeprrafopredeter"/>
    <w:link w:val="Textoindependiente"/>
    <w:rsid w:val="00ED182E"/>
    <w:rPr>
      <w:rFonts w:ascii="Times New Roman" w:hAnsi="Times New Roman" w:cs="Times New Roman"/>
      <w:sz w:val="24"/>
      <w:szCs w:val="24"/>
    </w:rPr>
  </w:style>
  <w:style w:type="paragraph" w:customStyle="1" w:styleId="BodyTextContinued">
    <w:name w:val="Body Text Continued"/>
    <w:basedOn w:val="Textoindependiente"/>
    <w:next w:val="Textoindependiente"/>
    <w:rsid w:val="00ED182E"/>
    <w:pPr>
      <w:ind w:firstLine="0"/>
    </w:pPr>
  </w:style>
  <w:style w:type="paragraph" w:styleId="Cita">
    <w:name w:val="Quote"/>
    <w:basedOn w:val="Normal"/>
    <w:next w:val="BodyTextContinued"/>
    <w:link w:val="CitaCar"/>
    <w:qFormat/>
    <w:rsid w:val="00ED182E"/>
    <w:pPr>
      <w:spacing w:after="240"/>
      <w:ind w:left="1440" w:right="1440"/>
    </w:pPr>
  </w:style>
  <w:style w:type="character" w:customStyle="1" w:styleId="CitaCar">
    <w:name w:val="Cita Car"/>
    <w:basedOn w:val="Fuentedeprrafopredeter"/>
    <w:link w:val="Cita"/>
    <w:rsid w:val="00ED182E"/>
    <w:rPr>
      <w:rFonts w:ascii="Times New Roman" w:hAnsi="Times New Roman" w:cs="Times New Roman"/>
      <w:sz w:val="24"/>
      <w:szCs w:val="20"/>
    </w:rPr>
  </w:style>
  <w:style w:type="paragraph" w:styleId="Encabezado">
    <w:name w:val="header"/>
    <w:basedOn w:val="Normal"/>
    <w:link w:val="EncabezadoCar"/>
    <w:rsid w:val="00ED182E"/>
    <w:pPr>
      <w:tabs>
        <w:tab w:val="center" w:pos="4680"/>
        <w:tab w:val="right" w:pos="9360"/>
      </w:tabs>
    </w:pPr>
  </w:style>
  <w:style w:type="character" w:customStyle="1" w:styleId="EncabezadoCar">
    <w:name w:val="Encabezado Car"/>
    <w:basedOn w:val="Fuentedeprrafopredeter"/>
    <w:link w:val="Encabezado"/>
    <w:rsid w:val="00ED182E"/>
    <w:rPr>
      <w:rFonts w:ascii="Times New Roman" w:hAnsi="Times New Roman" w:cs="Times New Roman"/>
      <w:sz w:val="24"/>
      <w:szCs w:val="24"/>
    </w:rPr>
  </w:style>
  <w:style w:type="paragraph" w:styleId="Piedepgina">
    <w:name w:val="footer"/>
    <w:basedOn w:val="Normal"/>
    <w:link w:val="PiedepginaCar"/>
    <w:uiPriority w:val="99"/>
    <w:rsid w:val="00ED182E"/>
    <w:pPr>
      <w:tabs>
        <w:tab w:val="center" w:pos="4680"/>
        <w:tab w:val="right" w:pos="9360"/>
      </w:tabs>
    </w:pPr>
  </w:style>
  <w:style w:type="character" w:customStyle="1" w:styleId="PiedepginaCar">
    <w:name w:val="Pie de página Car"/>
    <w:basedOn w:val="Fuentedeprrafopredeter"/>
    <w:link w:val="Piedepgina"/>
    <w:uiPriority w:val="99"/>
    <w:rsid w:val="00ED182E"/>
    <w:rPr>
      <w:rFonts w:ascii="Times New Roman" w:hAnsi="Times New Roman" w:cs="Times New Roman"/>
      <w:sz w:val="24"/>
      <w:szCs w:val="24"/>
    </w:rPr>
  </w:style>
  <w:style w:type="character" w:styleId="Nmerodepgina">
    <w:name w:val="page number"/>
    <w:basedOn w:val="Fuentedeprrafopredeter"/>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ipervnculo">
    <w:name w:val="Hyperlink"/>
    <w:basedOn w:val="Fuentedeprrafopredeter"/>
    <w:rsid w:val="00ED182E"/>
    <w:rPr>
      <w:color w:val="0000FF"/>
      <w:u w:val="single"/>
    </w:rPr>
  </w:style>
  <w:style w:type="character" w:customStyle="1" w:styleId="zzmpTrailerItem">
    <w:name w:val="zzmpTrailerItem"/>
    <w:basedOn w:val="Fuentedeprrafopredeter"/>
    <w:rsid w:val="00ED182E"/>
    <w:rPr>
      <w:rFonts w:ascii="Arial" w:hAnsi="Arial" w:cs="Arial"/>
      <w:dstrike w:val="0"/>
      <w:noProof/>
      <w:color w:val="auto"/>
      <w:spacing w:val="0"/>
      <w:position w:val="0"/>
      <w:sz w:val="16"/>
      <w:szCs w:val="16"/>
      <w:u w:val="none"/>
      <w:effect w:val="none"/>
      <w:vertAlign w:val="baseline"/>
    </w:rPr>
  </w:style>
  <w:style w:type="table" w:styleId="Tablaconcuadrcula">
    <w:name w:val="Table Grid"/>
    <w:basedOn w:val="Tablanormal"/>
    <w:rsid w:val="00ED182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D182E"/>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82E"/>
    <w:rPr>
      <w:rFonts w:ascii="Tahoma" w:hAnsi="Tahoma" w:cs="Tahoma"/>
      <w:sz w:val="16"/>
      <w:szCs w:val="16"/>
    </w:rPr>
  </w:style>
  <w:style w:type="paragraph" w:styleId="Prrafodelista">
    <w:name w:val="List Paragraph"/>
    <w:basedOn w:val="Normal"/>
    <w:uiPriority w:val="34"/>
    <w:qFormat/>
    <w:rsid w:val="00370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91327">
      <w:bodyDiv w:val="1"/>
      <w:marLeft w:val="0"/>
      <w:marRight w:val="0"/>
      <w:marTop w:val="0"/>
      <w:marBottom w:val="0"/>
      <w:divBdr>
        <w:top w:val="none" w:sz="0" w:space="0" w:color="auto"/>
        <w:left w:val="none" w:sz="0" w:space="0" w:color="auto"/>
        <w:bottom w:val="none" w:sz="0" w:space="0" w:color="auto"/>
        <w:right w:val="none" w:sz="0" w:space="0" w:color="auto"/>
      </w:divBdr>
      <w:divsChild>
        <w:div w:id="1710295920">
          <w:marLeft w:val="0"/>
          <w:marRight w:val="0"/>
          <w:marTop w:val="0"/>
          <w:marBottom w:val="0"/>
          <w:divBdr>
            <w:top w:val="none" w:sz="0" w:space="0" w:color="auto"/>
            <w:left w:val="none" w:sz="0" w:space="0" w:color="auto"/>
            <w:bottom w:val="none" w:sz="0" w:space="0" w:color="auto"/>
            <w:right w:val="none" w:sz="0" w:space="0" w:color="auto"/>
          </w:divBdr>
        </w:div>
      </w:divsChild>
    </w:div>
    <w:div w:id="1272281220">
      <w:bodyDiv w:val="1"/>
      <w:marLeft w:val="0"/>
      <w:marRight w:val="0"/>
      <w:marTop w:val="0"/>
      <w:marBottom w:val="0"/>
      <w:divBdr>
        <w:top w:val="none" w:sz="0" w:space="0" w:color="auto"/>
        <w:left w:val="none" w:sz="0" w:space="0" w:color="auto"/>
        <w:bottom w:val="none" w:sz="0" w:space="0" w:color="auto"/>
        <w:right w:val="none" w:sz="0" w:space="0" w:color="auto"/>
      </w:divBdr>
    </w:div>
    <w:div w:id="19205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merfinance.gov/learnmore" TargetMode="External"/><Relationship Id="rId13" Type="http://schemas.openxmlformats.org/officeDocument/2006/relationships/hyperlink" Target="http://www.consumerfinance.gov/learnmor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nsumerfinance.gov/learnmor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merfinance.gov/learnmor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consumerfinance.gov/learnmor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consumerfinance.gov/learnmo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70AD8-CB27-437B-A824-FC902676E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1496</Words>
  <Characters>8228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2016-05-24T15:04:00Z</dcterms:created>
  <dcterms:modified xsi:type="dcterms:W3CDTF">2016-05-24T16:11:00Z</dcterms:modified>
</cp:coreProperties>
</file>