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中被建立起来的。原本只是心头自然起落的活动，只因我们步步停驻、将其认作立足的基石，便处处受其牵引，画地为牢，难以自知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作前解，便是沉浸在虚无的感受之中；若作后解，则依旧困在利害的权衡之中。无论是不问世事的“冷漠”，还是玩转世故的“算计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里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2026-10-28T07:13:16Z</dcterms:created>
  <dcterms:modified xsi:type="dcterms:W3CDTF">2026-10-28T07:13:16Z</dcterms:modified>
  <dc:subject>内容版本 9d21841e2ea7-40648555753-1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