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技术与工具的突飞猛进，改变的是人类的生存条件与体验形式，而人本身并没有本质变化。两千多年前的人会焦虑、会恐惧，如今的我们也一样不少。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但外部研究无论如何揭示心智运作的规律，客观知识的丰富，并不能代替我们在念头生起之时对自身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，已是又一重细微的认取。</w:t>
      </w:r>
    </w:p>
    <w:p>
      <w:pPr>
        <w:pStyle w:val="BodyText"/>
      </w:pPr>
      <w:r>
        <w:t xml:space="preserve">迷失也恰恰发生在这里：面对那些浮现出来的情绪、念头等，心极容易在这个过程中陷入一种深深的“认取”——就如水中之月，波澜一起便随之晃荡，那终究只是倒影；可我们却不自觉地将波动的影子当了真，被其牵动。一旦某种看法被“执以为实”，心便不再自由，便会随着它们的起落流转不息。我们误将这些被觉察到的客体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2026-10-16T13:18:33Z</dcterms:created>
  <dcterms:modified xsi:type="dcterms:W3CDTF">2026-10-16T13:18:33Z</dcterms:modified>
  <dc:subject>内容版本 2059298cac03-38906750313-1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