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推演万物运行的规律，构建庞大的知识与工具体系，对世间万象的掌控与理解也越来越深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在意、较真与追逐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并认以为实，便再次落入颠倒之中。若是在此试图继续深入探寻和观测，就好像捞水中之月，取镜中之花，终是人影为真，了无可得。同样，许多人以为规避的方式是远离世俗、放弃追求，或是转而去寻求超然的精神境界与解脱之道。然而，从追求世俗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所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即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我们眼前现代文明的价值标准、社会秩序与工具体系。所谓“因缘和合”，也从来不是神秘的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2026-10-24T10:40:36Z</dcterms:created>
  <dcterms:modified xsi:type="dcterms:W3CDTF">2026-10-24T10:40:36Z</dcterms:modified>
  <dc:subject>内容版本 3ea65b310a61-40086799707-1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