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ch01"/>
    <w:p>
      <w:pPr>
        <w:pStyle w:val="Heading1"/>
      </w:pPr>
      <w:r>
        <w:t xml:space="preserve">第一品｜来处</w:t>
      </w:r>
    </w:p>
    <w:p>
      <w:pPr>
        <w:pStyle w:val="FirstParagraph"/>
      </w:pPr>
      <w:r>
        <w:t xml:space="preserve">随着人类社会的不断发展，生产与生活效率也在持续提升。特别是进入人工智能时代之后，许多技术的演进，展现出了过去未曾有过的速度。人们能够解决更复杂的问题，创造更完善的工具，获得更丰富的知识，也能够以过去难以想象的方式重塑人们的生活体验。</w:t>
      </w:r>
    </w:p>
    <w:p>
      <w:pPr>
        <w:pStyle w:val="BodyText"/>
      </w:pPr>
      <w:r>
        <w:t xml:space="preserve">然而，这一切向外开拓的技术与工具体系，本是人类内在倾向的延伸。它们改变了人的生存条件，人又在此基础上催生出新的评价体系和新的目标。人们能够做到的事情越来越多，却越来越少有余暇停下来看一眼那个驱动着这一切的源头。无论技术发展到何种程度，无论生活方式如何变迁，那些生命底层的内在倾向，始终未曾改变：我们对所思所感的认取从未停止——当念头或情绪升起时，心里产生依附趋向并赋予其“实有性”，便不可避免地受其牵引。</w:t>
      </w:r>
    </w:p>
    <w:p>
      <w:pPr>
        <w:pStyle w:val="BodyText"/>
      </w:pPr>
      <w:r>
        <w:t xml:space="preserve">随着脑科学与认知科学的深化，人类正逐步解构大脑的运作规律。但通过实验、仪器与数据去认识其中的机制，与在活生生的生命历程中看清自己，完全是两回事。科学探索所捕捉与建模的，往往是那些在大脑中发生、变化并最终归于平息的生理信号——一个念头的闪现与消退，一种情绪的激活与平复，乃至注意力的聚集与涣散。但外部研究无论如何揭示心智运作的规律，客观知识的丰富，并不能代替我们在念头生起之时对自身活动的即时照看，更无法免除我们在具体境遇中，因不断认取所思所感而陷入的种种迷失。</w:t>
      </w:r>
    </w:p>
    <w:p>
      <w:pPr>
        <w:pStyle w:val="BodyText"/>
      </w:pPr>
      <w:r>
        <w:t xml:space="preserve">需要注意的是，这种对自身的照看，语言表述往往容易被误解。无论是用‘觉知’还是其他类似的字眼，我们都很容易顺着习惯，把它理解为“我所具备的某种能力”——就像我拥有一双腿、拥有视力或思考能力一样。这样一来，心中便又悄然立起了一个拥有能力的“我”，和一个被展现出来的“功能”，也已是又一重细微的认取。</w:t>
      </w:r>
    </w:p>
    <w:p>
      <w:pPr>
        <w:pStyle w:val="BodyText"/>
      </w:pPr>
      <w:r>
        <w:t xml:space="preserve">前面所说的迷失恰恰发生在这里：面对那些浮现出来的情绪、念头等，心极容易在这个过程中陷入一种深深的“认取”——就如水中之月，波澜一起便随之晃荡，那终究只是倒影；可我们却不自觉地将波动的影子当了真，被其牵动。一旦某种看法被“执以为实”，心便不再自由，便会随着它们的起落流转不息。我们误将这些被觉察到的客体痕迹当成了实体，却未曾看清，那些牵动心弦的风浪起伏，本就无处依凭。</w:t>
      </w:r>
    </w:p>
    <w:p>
      <w:pPr>
        <w:pStyle w:val="BodyText"/>
      </w:pPr>
      <w:r>
        <w:t xml:space="preserve">这并不是某个时代独有的问题。社会制度可以变迁，科技与知识体系可以不断重塑，但只要这种“认影为真”的根本错位未被看清，生命的困惑就始终未曾改变，人也便在不知不觉中，活在了层层叠叠的颠倒之中。</w:t>
      </w:r>
    </w:p>
    <w:p>
      <w:pPr>
        <w:pStyle w:val="BodyText"/>
      </w:pPr>
      <w:r>
        <w:t xml:space="preserve">面对这种困境，向内的反观与探寻在人类历史上从未中断过。它的特殊与困难之处在于，我们太容易把“看清自己”再次变成一种新的倚靠；若是心里又把它当成必须守住的东西，它就变成了包袱，同样让人失去自由。许多人以为摆脱束缚的方式是远离世俗、放弃追求，或是转而去寻求超然的精神境界或某种解脱之道。然而，从追求物质转向追求超脱，如果内心仍然依赖一个“所求之境”来安放自我，那么这种转向在本质上并没有发生改变。</w:t>
      </w:r>
    </w:p>
    <w:p>
      <w:pPr>
        <w:pStyle w:val="BodyText"/>
      </w:pPr>
      <w:r>
        <w:t xml:space="preserve">甚至当我们自以为“看清了”这些机制，在心头竖起一个“清醒者”的形象，对自以为沉迷其中的世人滋生出隐秘的优越与评判，便已再次住进了所执之境，认妄为真。这正是《金刚经》里所提醒的“法尚应舍，何况非法”——真正的清醒，不是自己建立一套无懈可击的解释逻辑，更不是守着某种自居高深的境界。而是彻底看清心对一切外物与观念的黏着：既不被世俗的得失困住，也不被自己所认定的道理困住，更不被那个自认为已经明白道理的“自己”困住。</w:t>
      </w:r>
    </w:p>
    <w:p>
      <w:pPr>
        <w:pStyle w:val="BodyText"/>
      </w:pPr>
      <w:r>
        <w:t xml:space="preserve">这绝非让人什么都不去想，走向消极避世；也绝不仅是现代语境下“专注的执行力”与“事后豁达的心态”，更不是剔除温度、计算得失的冰冷决策。若是理解为冷漠无感，便是沉浸在虚无的感受之中；若是降格为高效处世，则依旧困在利害的算计之中。无论是逃避世事的“冷漠”，还是玩转世故的“通达”，二者形式虽异，本质上都是在向外认取、向内立我。</w:t>
      </w:r>
    </w:p>
    <w:p>
      <w:pPr>
        <w:pStyle w:val="BodyText"/>
      </w:pPr>
      <w:r>
        <w:t xml:space="preserve">当心不再于任何一端固执立足时，便无需去防御、维系和证明那个“自我”。面对万事万物，褪去了“利害”与“物我界限”的阻隔，心才真正恢复了彻底的敏锐与自由：不滞于一物，故能应照万物——遇深陷苦难者，可春风化雨；遇肆意妄为者，可迎头棒喝；遇因缘未至者，知时知量、不妄作强求。不是刻意为之的作为，而是本性的自然流露。这也是《金刚经》中“应无所住而生其心”的真意。</w:t>
      </w:r>
    </w:p>
    <w:p>
      <w:pPr>
        <w:pStyle w:val="BodyText"/>
      </w:pPr>
      <w:r>
        <w:t xml:space="preserve">由此再来看这个世界，我们看到的将不再是一个外在于己的环境。我们眼前现代文明的社会制度、工具体系与运转秩序，就是千百年来无数个体层层微细的“认取”相互共振、纠缠而沉淀下来的催化物。所谓“因缘和合”，也从来不是神秘的玄说，而正是这套以内在认取为锚点编织而成的巨大生命网络。</w:t>
      </w:r>
    </w:p>
    <w:p>
      <w:pPr>
        <w:pStyle w:val="BodyText"/>
      </w:pPr>
      <w:r>
        <w:t xml:space="preserve">在这个向外走得过于遥远的时代，回过头来看清一念初起的地方，不仅是在看清我们自己，更是在看清我们眼中这个世界的来处。</w:t>
      </w:r>
    </w:p>
    <w:bookmarkEnd w:id="20"/>
    <w:sectPr w:rsidR="00FC693F" w:rsidRPr="0006063C" w:rsidSect="00034616">
      <w:pgSz w:h="16838" w:w="11906"/>
      <w:pgMar w:bottom="1361" w:footer="720" w:gutter="0" w:header="720" w:left="1361" w:right="1361" w:top="1361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widowControl/>
      <w:spacing w:after="160" w:line="408" w:lineRule="auto"/>
    </w:pPr>
    <w:rPr>
      <w:rFonts w:ascii="Noto Serif CJK SC" w:cs="Noto Serif CJK SC" w:eastAsia="Noto Serif CJK SC" w:hAnsi="Noto Serif CJK SC"/>
      <w:color w:val="26332B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widowControl/>
      <w:spacing w:after="240" w:before="400" w:line="408" w:lineRule="auto"/>
      <w:outlineLvl w:val="0"/>
    </w:pPr>
    <w:rPr>
      <w:rFonts w:ascii="Noto Serif CJK SC" w:cs="Noto Serif CJK SC" w:eastAsia="Noto Serif CJK SC" w:hAnsi="Noto Serif CJK SC"/>
      <w:b/>
      <w:bCs/>
      <w:color w:val="26332B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widowControl/>
      <w:spacing w:after="240" w:before="400" w:line="408" w:lineRule="auto"/>
      <w:outlineLvl w:val="1"/>
    </w:pPr>
    <w:rPr>
      <w:rFonts w:ascii="Noto Serif CJK SC" w:cs="Noto Serif CJK SC" w:eastAsia="Noto Serif CJK SC" w:hAnsi="Noto Serif CJK SC"/>
      <w:b/>
      <w:bCs/>
      <w:color w:val="26332B"/>
      <w:sz w:val="34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widowControl/>
      <w:spacing w:after="240" w:before="400" w:line="408" w:lineRule="auto"/>
      <w:outlineLvl w:val="2"/>
    </w:pPr>
    <w:rPr>
      <w:rFonts w:ascii="Noto Serif CJK SC" w:cs="Noto Serif CJK SC" w:eastAsia="Noto Serif CJK SC" w:hAnsi="Noto Serif CJK SC"/>
      <w:b/>
      <w:bCs/>
      <w:color w:val="26332B"/>
      <w:sz w:val="32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widowControl/>
      <w:spacing w:after="240" w:before="400" w:line="408" w:lineRule="auto"/>
      <w:outlineLvl w:val="3"/>
    </w:pPr>
    <w:rPr>
      <w:rFonts w:ascii="Noto Serif CJK SC" w:cs="Noto Serif CJK SC" w:eastAsia="Noto Serif CJK SC" w:hAnsi="Noto Serif CJK SC"/>
      <w:b/>
      <w:bCs/>
      <w:i/>
      <w:iCs/>
      <w:color w:val="26332B"/>
      <w:sz w:val="30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widowControl/>
      <w:spacing w:after="240" w:before="400" w:line="408" w:lineRule="auto"/>
      <w:outlineLvl w:val="4"/>
    </w:pPr>
    <w:rPr>
      <w:rFonts w:ascii="Noto Serif CJK SC" w:cs="Noto Serif CJK SC" w:eastAsia="Noto Serif CJK SC" w:hAnsi="Noto Serif CJK SC"/>
      <w:color w:val="26332B"/>
      <w:sz w:val="28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widowControl/>
      <w:spacing w:after="240" w:before="400" w:line="408" w:lineRule="auto"/>
      <w:outlineLvl w:val="5"/>
    </w:pPr>
    <w:rPr>
      <w:rFonts w:ascii="Noto Serif CJK SC" w:cs="Noto Serif CJK SC" w:eastAsia="Noto Serif CJK SC" w:hAnsi="Noto Serif CJK SC"/>
      <w:i/>
      <w:iCs/>
      <w:color w:val="26332B"/>
      <w:sz w:val="26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widowControl/>
      <w:spacing w:after="160" w:line="408" w:lineRule="auto"/>
    </w:pPr>
    <w:rPr>
      <w:rFonts w:ascii="Noto Serif CJK SC" w:cs="Noto Serif CJK SC" w:eastAsia="Noto Serif CJK SC" w:hAnsi="Noto Serif CJK SC"/>
      <w:color w:val="26332B"/>
      <w:sz w:val="22"/>
    </w:r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观</dc:title>
  <dc:creator/>
  <cp:keywords/>
  <dcterms:created xsi:type="dcterms:W3CDTF">2026-10-16T11:11:18Z</dcterms:created>
  <dcterms:modified xsi:type="dcterms:W3CDTF">2026-10-16T11:11:18Z</dcterms:modified>
  <dc:subject>内容版本 ec3822d5fd84-38892033736-1</dc:subject>
  <cp:lastModifiedBy/>
  <dc:description/>
  <dc:language>zh-CN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