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这一切向外开拓的技术与工具体系，本是人类内在倾向的延伸。它们改变了人的生存条件，人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情绪、念头等，心极容易在这个过程中陷入一种深深的“认取”——就如水中之月，波澜一起便随之晃荡，那终究只是倒影；可我们却不自觉地将波动的影子当了真，被其牵动。一旦某种看法被“执以为实”，心便不再自由，便会随着它们的起落流转不息。我们误将这些被觉察到的客体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2026-10-16T11:20:07Z</dcterms:created>
  <dcterms:modified xsi:type="dcterms:W3CDTF">2026-10-16T11:20:07Z</dcterms:modified>
  <dc:subject>内容版本 31650a65d3e4-38892984240-1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