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中被建立起来的。原本只是心头自然起落的活动，只因我们步步停驻、将其认作立足的基石，便处处受其牵引，画地为牢，难以自知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作前解，便是沉浸在虚无的感受之中；若作后解，则依旧困在利害的权衡之中。无论是不问世事的“冷漠”，还是玩转世故的“算计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里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2026-10-25T09:30:24Z</dcterms:created>
  <dcterms:modified xsi:type="dcterms:W3CDTF">2026-10-25T09:30:24Z</dcterms:modified>
  <dc:subject>内容版本 3c9974418f3d-40180867024-1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