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4F78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b/>
          <w:color w:val="000000" w:themeColor="text1"/>
          <w:sz w:val="22"/>
          <w:szCs w:val="22"/>
        </w:rPr>
        <w:t>Figure 6</w:t>
      </w:r>
      <w:r w:rsidRPr="00FC72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FC722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Integrated analysis reveals multiple important Bcl6 target TF candidates</w:t>
      </w:r>
    </w:p>
    <w:p w14:paraId="600CA1D5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(A) Schematic of the integrated analytical approach</w:t>
      </w:r>
    </w:p>
    <w:p w14:paraId="5FA9504E" w14:textId="2DFEB36C" w:rsidR="00CE76FF" w:rsidRPr="00FC7226" w:rsidRDefault="00CE76FF" w:rsidP="00CE76FF">
      <w:pPr>
        <w:widowControl w:val="0"/>
        <w:snapToGrid w:val="0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(B) </w:t>
      </w:r>
      <w:r w:rsidRPr="00FC7226">
        <w:rPr>
          <w:rFonts w:ascii="Arial" w:hAnsi="Arial" w:cs="Arial"/>
          <w:sz w:val="22"/>
          <w:szCs w:val="22"/>
        </w:rPr>
        <w:t>Schematic of the SMARTA cell transfer system used for ATAC-</w:t>
      </w:r>
      <w:proofErr w:type="spellStart"/>
      <w:r w:rsidRPr="00FC7226">
        <w:rPr>
          <w:rFonts w:ascii="Arial" w:hAnsi="Arial" w:cs="Arial"/>
          <w:sz w:val="22"/>
          <w:szCs w:val="22"/>
        </w:rPr>
        <w:t>seq</w:t>
      </w:r>
      <w:proofErr w:type="spellEnd"/>
      <w:r w:rsidRPr="00FC7226">
        <w:rPr>
          <w:rFonts w:ascii="Arial" w:hAnsi="Arial" w:cs="Arial"/>
          <w:sz w:val="22"/>
          <w:szCs w:val="22"/>
        </w:rPr>
        <w:t xml:space="preserve"> analysis. Representative flow cytometry of T</w:t>
      </w:r>
      <w:r w:rsidRPr="00FC7226">
        <w:rPr>
          <w:rFonts w:ascii="Arial" w:hAnsi="Arial" w:cs="Arial"/>
          <w:sz w:val="22"/>
          <w:szCs w:val="22"/>
          <w:vertAlign w:val="subscript"/>
        </w:rPr>
        <w:t>FH</w:t>
      </w:r>
      <w:r w:rsidRPr="00FC7226">
        <w:rPr>
          <w:rFonts w:ascii="Arial" w:hAnsi="Arial" w:cs="Arial"/>
          <w:sz w:val="22"/>
          <w:szCs w:val="22"/>
        </w:rPr>
        <w:t>, T</w:t>
      </w:r>
      <w:r w:rsidRPr="00FC7226">
        <w:rPr>
          <w:rFonts w:ascii="Arial" w:hAnsi="Arial" w:cs="Arial"/>
          <w:sz w:val="22"/>
          <w:szCs w:val="22"/>
          <w:vertAlign w:val="subscript"/>
        </w:rPr>
        <w:t>H</w:t>
      </w:r>
      <w:r w:rsidRPr="00FC7226">
        <w:rPr>
          <w:rFonts w:ascii="Arial" w:hAnsi="Arial" w:cs="Arial"/>
          <w:sz w:val="22"/>
          <w:szCs w:val="22"/>
        </w:rPr>
        <w:t>1, T</w:t>
      </w:r>
      <w:r w:rsidRPr="00FC7226">
        <w:rPr>
          <w:rFonts w:ascii="Arial" w:hAnsi="Arial" w:cs="Arial"/>
          <w:sz w:val="22"/>
          <w:szCs w:val="22"/>
          <w:vertAlign w:val="subscript"/>
        </w:rPr>
        <w:t>FH</w:t>
      </w:r>
      <w:r w:rsidRPr="00FC7226">
        <w:rPr>
          <w:rFonts w:ascii="Arial" w:hAnsi="Arial" w:cs="Arial"/>
          <w:sz w:val="22"/>
          <w:szCs w:val="22"/>
        </w:rPr>
        <w:t>-like, and T</w:t>
      </w:r>
      <w:r w:rsidRPr="00FC7226">
        <w:rPr>
          <w:rFonts w:ascii="Arial" w:hAnsi="Arial" w:cs="Arial"/>
          <w:sz w:val="22"/>
          <w:szCs w:val="22"/>
          <w:vertAlign w:val="subscript"/>
        </w:rPr>
        <w:t>H</w:t>
      </w:r>
      <w:r w:rsidRPr="00FC7226">
        <w:rPr>
          <w:rFonts w:ascii="Arial" w:hAnsi="Arial" w:cs="Arial"/>
          <w:sz w:val="22"/>
          <w:szCs w:val="22"/>
        </w:rPr>
        <w:t>1-like subsets.</w:t>
      </w:r>
    </w:p>
    <w:p w14:paraId="7807FB17" w14:textId="6C02B62A" w:rsidR="00CE76FF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(C)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tSNE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analysis of differential 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ATAC-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chromatin accessibility</w:t>
      </w:r>
    </w:p>
    <w:p w14:paraId="7D7A97B3" w14:textId="4926085D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(D) 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Genome-browser tracks depict ATAC-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chromatin accessibility, TF occupancy, and corresponding gene expression.</w:t>
      </w:r>
    </w:p>
    <w:p w14:paraId="631AA649" w14:textId="68F8931B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Heatmap plots the frequencies of the most enriched TF motifs in differentially accessible regions. </w:t>
      </w:r>
    </w:p>
    <w:p w14:paraId="106A2CE4" w14:textId="107A7CA6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TF footprints derived from ATAC-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reads over</w:t>
      </w:r>
      <w:bookmarkStart w:id="0" w:name="_GoBack"/>
      <w:bookmarkEnd w:id="0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representative TF motifs within accessible ATAC-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regions.</w:t>
      </w:r>
    </w:p>
    <w:p w14:paraId="0E6F8474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Genome-browser tracks depict ATAC-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chromatin accessibility and TF occupancy.</w:t>
      </w:r>
    </w:p>
    <w:p w14:paraId="5448EFA8" w14:textId="385A3E1A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H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Gene expression from </w:t>
      </w:r>
      <w:r>
        <w:rPr>
          <w:rFonts w:ascii="Arial" w:eastAsia="Times New Roman" w:hAnsi="Arial" w:cs="Arial"/>
          <w:color w:val="000000"/>
          <w:sz w:val="22"/>
          <w:szCs w:val="22"/>
        </w:rPr>
        <w:t>RNA-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data (see Fig 4). </w:t>
      </w:r>
    </w:p>
    <w:p w14:paraId="0D1EEF27" w14:textId="70C46603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Genome-browser tracks depict </w:t>
      </w:r>
      <w:proofErr w:type="spellStart"/>
      <w:r w:rsidRPr="00FC7226">
        <w:rPr>
          <w:rFonts w:ascii="Arial" w:eastAsia="Times New Roman" w:hAnsi="Arial" w:cs="Arial"/>
          <w:color w:val="000000"/>
          <w:sz w:val="22"/>
          <w:szCs w:val="22"/>
        </w:rPr>
        <w:t>ChIP-Seq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peaks.</w:t>
      </w:r>
    </w:p>
    <w:p w14:paraId="2865B8EA" w14:textId="6738FFB9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J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Gene expression from </w:t>
      </w:r>
      <w:r>
        <w:rPr>
          <w:rFonts w:ascii="Arial" w:eastAsia="Times New Roman" w:hAnsi="Arial" w:cs="Arial"/>
          <w:color w:val="000000"/>
          <w:sz w:val="22"/>
          <w:szCs w:val="22"/>
        </w:rPr>
        <w:t>RNA-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seq</w:t>
      </w:r>
      <w:proofErr w:type="spellEnd"/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data (see Fig 4).</w:t>
      </w:r>
    </w:p>
    <w:p w14:paraId="5B87DE89" w14:textId="77777777" w:rsidR="00C33F78" w:rsidRDefault="00C33F78"/>
    <w:sectPr w:rsidR="00C33F78" w:rsidSect="00B8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F"/>
    <w:rsid w:val="00232747"/>
    <w:rsid w:val="009C622D"/>
    <w:rsid w:val="00A45B6B"/>
    <w:rsid w:val="00B83CCC"/>
    <w:rsid w:val="00C33F78"/>
    <w:rsid w:val="00CE76FF"/>
    <w:rsid w:val="00F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8BAF"/>
  <w15:chartTrackingRefBased/>
  <w15:docId w15:val="{098A9395-09C4-694C-8C24-1AC1B70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Jinyong</dc:creator>
  <cp:keywords/>
  <dc:description/>
  <cp:lastModifiedBy>Choi Jinyong</cp:lastModifiedBy>
  <cp:revision>1</cp:revision>
  <dcterms:created xsi:type="dcterms:W3CDTF">2019-07-16T17:47:00Z</dcterms:created>
  <dcterms:modified xsi:type="dcterms:W3CDTF">2019-07-16T17:51:00Z</dcterms:modified>
</cp:coreProperties>
</file>