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34F78" w14:textId="77777777" w:rsidR="00CE76FF" w:rsidRPr="00FC7226" w:rsidRDefault="00CE76FF" w:rsidP="00CE76FF">
      <w:pPr>
        <w:spacing w:line="360" w:lineRule="auto"/>
        <w:jc w:val="both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FC7226">
        <w:rPr>
          <w:rFonts w:ascii="Arial" w:eastAsia="Times New Roman" w:hAnsi="Arial" w:cs="Arial"/>
          <w:b/>
          <w:color w:val="000000" w:themeColor="text1"/>
          <w:sz w:val="22"/>
          <w:szCs w:val="22"/>
        </w:rPr>
        <w:t>Figure 6</w:t>
      </w:r>
      <w:r w:rsidRPr="00FC7226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  <w:r w:rsidRPr="00FC7226">
        <w:rPr>
          <w:rFonts w:ascii="Arial" w:eastAsia="Times New Roman" w:hAnsi="Arial" w:cs="Arial"/>
          <w:b/>
          <w:bCs/>
          <w:color w:val="000000"/>
          <w:sz w:val="22"/>
          <w:szCs w:val="22"/>
        </w:rPr>
        <w:t>Integrated analysis reveals multiple important Bcl6 target TF candidates</w:t>
      </w:r>
    </w:p>
    <w:p w14:paraId="600CA1D5" w14:textId="77777777" w:rsidR="00CE76FF" w:rsidRPr="00FC7226" w:rsidRDefault="00CE76FF" w:rsidP="00CE76FF">
      <w:pPr>
        <w:spacing w:line="360" w:lineRule="auto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FC7226">
        <w:rPr>
          <w:rFonts w:ascii="Arial" w:eastAsia="Times New Roman" w:hAnsi="Arial" w:cs="Arial"/>
          <w:color w:val="000000"/>
          <w:sz w:val="22"/>
          <w:szCs w:val="22"/>
        </w:rPr>
        <w:t>(A) Schematic of the integrated analytical approach</w:t>
      </w:r>
    </w:p>
    <w:p w14:paraId="5FA9504E" w14:textId="2DFEB36C" w:rsidR="00CE76FF" w:rsidRPr="00FC7226" w:rsidRDefault="00CE76FF" w:rsidP="00CE76FF">
      <w:pPr>
        <w:widowControl w:val="0"/>
        <w:snapToGrid w:val="0"/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FC7226">
        <w:rPr>
          <w:rFonts w:ascii="Arial" w:eastAsia="Times New Roman" w:hAnsi="Arial" w:cs="Arial"/>
          <w:color w:val="000000"/>
          <w:sz w:val="22"/>
          <w:szCs w:val="22"/>
        </w:rPr>
        <w:t xml:space="preserve">(B) </w:t>
      </w:r>
      <w:r w:rsidRPr="00FC7226">
        <w:rPr>
          <w:rFonts w:ascii="Arial" w:hAnsi="Arial" w:cs="Arial"/>
          <w:sz w:val="22"/>
          <w:szCs w:val="22"/>
        </w:rPr>
        <w:t>Schematic of the SMARTA cell transfer system used for ATAC-seq analysis. Representative flow cytometry of T</w:t>
      </w:r>
      <w:r w:rsidRPr="00FC7226">
        <w:rPr>
          <w:rFonts w:ascii="Arial" w:hAnsi="Arial" w:cs="Arial"/>
          <w:sz w:val="22"/>
          <w:szCs w:val="22"/>
          <w:vertAlign w:val="subscript"/>
        </w:rPr>
        <w:t>FH</w:t>
      </w:r>
      <w:r w:rsidRPr="00FC7226">
        <w:rPr>
          <w:rFonts w:ascii="Arial" w:hAnsi="Arial" w:cs="Arial"/>
          <w:sz w:val="22"/>
          <w:szCs w:val="22"/>
        </w:rPr>
        <w:t>, T</w:t>
      </w:r>
      <w:r w:rsidRPr="00FC7226">
        <w:rPr>
          <w:rFonts w:ascii="Arial" w:hAnsi="Arial" w:cs="Arial"/>
          <w:sz w:val="22"/>
          <w:szCs w:val="22"/>
          <w:vertAlign w:val="subscript"/>
        </w:rPr>
        <w:t>H</w:t>
      </w:r>
      <w:r w:rsidRPr="00FC7226">
        <w:rPr>
          <w:rFonts w:ascii="Arial" w:hAnsi="Arial" w:cs="Arial"/>
          <w:sz w:val="22"/>
          <w:szCs w:val="22"/>
        </w:rPr>
        <w:t>1, T</w:t>
      </w:r>
      <w:r w:rsidRPr="00FC7226">
        <w:rPr>
          <w:rFonts w:ascii="Arial" w:hAnsi="Arial" w:cs="Arial"/>
          <w:sz w:val="22"/>
          <w:szCs w:val="22"/>
          <w:vertAlign w:val="subscript"/>
        </w:rPr>
        <w:t>FH</w:t>
      </w:r>
      <w:r w:rsidRPr="00FC7226">
        <w:rPr>
          <w:rFonts w:ascii="Arial" w:hAnsi="Arial" w:cs="Arial"/>
          <w:sz w:val="22"/>
          <w:szCs w:val="22"/>
        </w:rPr>
        <w:t>-like, and T</w:t>
      </w:r>
      <w:r w:rsidRPr="00FC7226">
        <w:rPr>
          <w:rFonts w:ascii="Arial" w:hAnsi="Arial" w:cs="Arial"/>
          <w:sz w:val="22"/>
          <w:szCs w:val="22"/>
          <w:vertAlign w:val="subscript"/>
        </w:rPr>
        <w:t>H</w:t>
      </w:r>
      <w:r w:rsidRPr="00FC7226">
        <w:rPr>
          <w:rFonts w:ascii="Arial" w:hAnsi="Arial" w:cs="Arial"/>
          <w:sz w:val="22"/>
          <w:szCs w:val="22"/>
        </w:rPr>
        <w:t>1-like subsets.</w:t>
      </w:r>
    </w:p>
    <w:p w14:paraId="7807FB17" w14:textId="6C02B62A" w:rsidR="00CE76FF" w:rsidRDefault="00CE76FF" w:rsidP="00CE76FF">
      <w:pPr>
        <w:spacing w:line="360" w:lineRule="auto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FC7226">
        <w:rPr>
          <w:rFonts w:ascii="Arial" w:eastAsia="Times New Roman" w:hAnsi="Arial" w:cs="Arial"/>
          <w:color w:val="000000"/>
          <w:sz w:val="22"/>
          <w:szCs w:val="22"/>
        </w:rPr>
        <w:t xml:space="preserve">(C)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tSNE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analysis of differential </w:t>
      </w:r>
      <w:r w:rsidRPr="00FC7226">
        <w:rPr>
          <w:rFonts w:ascii="Arial" w:eastAsia="Times New Roman" w:hAnsi="Arial" w:cs="Arial"/>
          <w:color w:val="000000"/>
          <w:sz w:val="22"/>
          <w:szCs w:val="22"/>
        </w:rPr>
        <w:t>ATAC-seq chromatin accessibility</w:t>
      </w:r>
    </w:p>
    <w:p w14:paraId="7D7A97B3" w14:textId="4926085D" w:rsidR="00CE76FF" w:rsidRPr="00FC7226" w:rsidRDefault="00CE76FF" w:rsidP="00CE76FF">
      <w:pPr>
        <w:spacing w:line="360" w:lineRule="auto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(D) </w:t>
      </w:r>
      <w:r w:rsidRPr="00FC7226">
        <w:rPr>
          <w:rFonts w:ascii="Arial" w:eastAsia="Times New Roman" w:hAnsi="Arial" w:cs="Arial"/>
          <w:color w:val="000000"/>
          <w:sz w:val="22"/>
          <w:szCs w:val="22"/>
        </w:rPr>
        <w:t>Genome-browser tracks depict ATAC-seq chromatin accessibility, TF occupancy, and corresponding gene expression.</w:t>
      </w:r>
    </w:p>
    <w:p w14:paraId="631AA649" w14:textId="22CFF5D1" w:rsidR="00CE76FF" w:rsidRPr="00FC7226" w:rsidRDefault="00CE76FF" w:rsidP="00CE76FF">
      <w:pPr>
        <w:spacing w:line="360" w:lineRule="auto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FC7226">
        <w:rPr>
          <w:rFonts w:ascii="Arial" w:eastAsia="Times New Roman" w:hAnsi="Arial" w:cs="Arial"/>
          <w:color w:val="000000"/>
          <w:sz w:val="22"/>
          <w:szCs w:val="22"/>
        </w:rPr>
        <w:t>(</w:t>
      </w:r>
      <w:r>
        <w:rPr>
          <w:rFonts w:ascii="Arial" w:eastAsia="Times New Roman" w:hAnsi="Arial" w:cs="Arial"/>
          <w:color w:val="000000"/>
          <w:sz w:val="22"/>
          <w:szCs w:val="22"/>
        </w:rPr>
        <w:t>E</w:t>
      </w:r>
      <w:r w:rsidRPr="00FC7226">
        <w:rPr>
          <w:rFonts w:ascii="Arial" w:eastAsia="Times New Roman" w:hAnsi="Arial" w:cs="Arial"/>
          <w:color w:val="000000"/>
          <w:sz w:val="22"/>
          <w:szCs w:val="22"/>
        </w:rPr>
        <w:t>) Heatmap plots the frequen</w:t>
      </w:r>
      <w:bookmarkStart w:id="0" w:name="_GoBack"/>
      <w:bookmarkEnd w:id="0"/>
      <w:r w:rsidRPr="00FC7226">
        <w:rPr>
          <w:rFonts w:ascii="Arial" w:eastAsia="Times New Roman" w:hAnsi="Arial" w:cs="Arial"/>
          <w:color w:val="000000"/>
          <w:sz w:val="22"/>
          <w:szCs w:val="22"/>
        </w:rPr>
        <w:t>cies of the most enriched TF motifs in differentially accessible regions</w:t>
      </w:r>
      <w:r w:rsidR="00E001E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E001ED" w:rsidRPr="00E001ED">
        <w:rPr>
          <w:rFonts w:ascii="Arial" w:eastAsia="Times New Roman" w:hAnsi="Arial" w:cs="Arial"/>
          <w:color w:val="FF0000"/>
          <w:sz w:val="22"/>
          <w:szCs w:val="22"/>
        </w:rPr>
        <w:t xml:space="preserve">(relatively more open in first group than second group, DEseq2 </w:t>
      </w:r>
      <w:proofErr w:type="spellStart"/>
      <w:r w:rsidR="00E001ED" w:rsidRPr="00E001ED">
        <w:rPr>
          <w:rFonts w:ascii="Arial" w:eastAsia="Times New Roman" w:hAnsi="Arial" w:cs="Arial"/>
          <w:color w:val="FF0000"/>
          <w:sz w:val="22"/>
          <w:szCs w:val="22"/>
        </w:rPr>
        <w:t>pval</w:t>
      </w:r>
      <w:proofErr w:type="spellEnd"/>
      <w:r w:rsidR="00E001ED" w:rsidRPr="00E001ED">
        <w:rPr>
          <w:rFonts w:ascii="Arial" w:eastAsia="Times New Roman" w:hAnsi="Arial" w:cs="Arial"/>
          <w:color w:val="FF0000"/>
          <w:sz w:val="22"/>
          <w:szCs w:val="22"/>
        </w:rPr>
        <w:t xml:space="preserve"> &lt; 0.05)</w:t>
      </w:r>
      <w:r w:rsidRPr="00E001ED">
        <w:rPr>
          <w:rFonts w:ascii="Arial" w:eastAsia="Times New Roman" w:hAnsi="Arial" w:cs="Arial"/>
          <w:color w:val="FF0000"/>
          <w:sz w:val="22"/>
          <w:szCs w:val="22"/>
        </w:rPr>
        <w:t xml:space="preserve">. </w:t>
      </w:r>
    </w:p>
    <w:p w14:paraId="106A2CE4" w14:textId="107A7CA6" w:rsidR="00CE76FF" w:rsidRPr="00FC7226" w:rsidRDefault="00CE76FF" w:rsidP="00CE76FF">
      <w:pPr>
        <w:spacing w:line="360" w:lineRule="auto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FC7226">
        <w:rPr>
          <w:rFonts w:ascii="Arial" w:eastAsia="Times New Roman" w:hAnsi="Arial" w:cs="Arial"/>
          <w:color w:val="000000"/>
          <w:sz w:val="22"/>
          <w:szCs w:val="22"/>
        </w:rPr>
        <w:t>(</w:t>
      </w:r>
      <w:r>
        <w:rPr>
          <w:rFonts w:ascii="Arial" w:eastAsia="Times New Roman" w:hAnsi="Arial" w:cs="Arial"/>
          <w:color w:val="000000"/>
          <w:sz w:val="22"/>
          <w:szCs w:val="22"/>
        </w:rPr>
        <w:t>F</w:t>
      </w:r>
      <w:r w:rsidRPr="00FC7226">
        <w:rPr>
          <w:rFonts w:ascii="Arial" w:eastAsia="Times New Roman" w:hAnsi="Arial" w:cs="Arial"/>
          <w:color w:val="000000"/>
          <w:sz w:val="22"/>
          <w:szCs w:val="22"/>
        </w:rPr>
        <w:t>) TF footprints derived from ATAC-seq reads over representative TF motifs within accessible ATAC-seq regions.</w:t>
      </w:r>
    </w:p>
    <w:p w14:paraId="0E6F8474" w14:textId="77777777" w:rsidR="00CE76FF" w:rsidRPr="00FC7226" w:rsidRDefault="00CE76FF" w:rsidP="00CE76FF">
      <w:pPr>
        <w:spacing w:line="360" w:lineRule="auto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FC7226">
        <w:rPr>
          <w:rFonts w:ascii="Arial" w:eastAsia="Times New Roman" w:hAnsi="Arial" w:cs="Arial"/>
          <w:color w:val="000000"/>
          <w:sz w:val="22"/>
          <w:szCs w:val="22"/>
        </w:rPr>
        <w:t>(</w:t>
      </w:r>
      <w:r>
        <w:rPr>
          <w:rFonts w:ascii="Arial" w:eastAsia="Times New Roman" w:hAnsi="Arial" w:cs="Arial"/>
          <w:color w:val="000000"/>
          <w:sz w:val="22"/>
          <w:szCs w:val="22"/>
        </w:rPr>
        <w:t>G</w:t>
      </w:r>
      <w:r w:rsidRPr="00FC7226">
        <w:rPr>
          <w:rFonts w:ascii="Arial" w:eastAsia="Times New Roman" w:hAnsi="Arial" w:cs="Arial"/>
          <w:color w:val="000000"/>
          <w:sz w:val="22"/>
          <w:szCs w:val="22"/>
        </w:rPr>
        <w:t>) Genome-browser tracks depict ATAC-seq chromatin accessibility and TF occupancy.</w:t>
      </w:r>
    </w:p>
    <w:p w14:paraId="5448EFA8" w14:textId="385A3E1A" w:rsidR="00CE76FF" w:rsidRPr="00FC7226" w:rsidRDefault="00CE76FF" w:rsidP="00CE76FF">
      <w:pPr>
        <w:spacing w:line="360" w:lineRule="auto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FC7226">
        <w:rPr>
          <w:rFonts w:ascii="Arial" w:eastAsia="Times New Roman" w:hAnsi="Arial" w:cs="Arial"/>
          <w:color w:val="000000"/>
          <w:sz w:val="22"/>
          <w:szCs w:val="22"/>
        </w:rPr>
        <w:t>(</w:t>
      </w:r>
      <w:r>
        <w:rPr>
          <w:rFonts w:ascii="Arial" w:eastAsia="Times New Roman" w:hAnsi="Arial" w:cs="Arial"/>
          <w:color w:val="000000"/>
          <w:sz w:val="22"/>
          <w:szCs w:val="22"/>
        </w:rPr>
        <w:t>H</w:t>
      </w:r>
      <w:r w:rsidRPr="00FC7226">
        <w:rPr>
          <w:rFonts w:ascii="Arial" w:eastAsia="Times New Roman" w:hAnsi="Arial" w:cs="Arial"/>
          <w:color w:val="000000"/>
          <w:sz w:val="22"/>
          <w:szCs w:val="22"/>
        </w:rPr>
        <w:t xml:space="preserve">) Gene expression from </w:t>
      </w:r>
      <w:r>
        <w:rPr>
          <w:rFonts w:ascii="Arial" w:eastAsia="Times New Roman" w:hAnsi="Arial" w:cs="Arial"/>
          <w:color w:val="000000"/>
          <w:sz w:val="22"/>
          <w:szCs w:val="22"/>
        </w:rPr>
        <w:t>RNA-seq</w:t>
      </w:r>
      <w:r w:rsidRPr="00FC7226">
        <w:rPr>
          <w:rFonts w:ascii="Arial" w:eastAsia="Times New Roman" w:hAnsi="Arial" w:cs="Arial"/>
          <w:color w:val="000000"/>
          <w:sz w:val="22"/>
          <w:szCs w:val="22"/>
        </w:rPr>
        <w:t xml:space="preserve"> data (see Fig 4). </w:t>
      </w:r>
    </w:p>
    <w:p w14:paraId="0D1EEF27" w14:textId="70C46603" w:rsidR="00CE76FF" w:rsidRPr="00FC7226" w:rsidRDefault="00CE76FF" w:rsidP="00CE76FF">
      <w:pPr>
        <w:spacing w:line="360" w:lineRule="auto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FC7226">
        <w:rPr>
          <w:rFonts w:ascii="Arial" w:eastAsia="Times New Roman" w:hAnsi="Arial" w:cs="Arial"/>
          <w:color w:val="000000"/>
          <w:sz w:val="22"/>
          <w:szCs w:val="22"/>
        </w:rPr>
        <w:t>(</w:t>
      </w:r>
      <w:r>
        <w:rPr>
          <w:rFonts w:ascii="Arial" w:eastAsia="Times New Roman" w:hAnsi="Arial" w:cs="Arial"/>
          <w:color w:val="000000"/>
          <w:sz w:val="22"/>
          <w:szCs w:val="22"/>
        </w:rPr>
        <w:t>I</w:t>
      </w:r>
      <w:r w:rsidRPr="00FC7226">
        <w:rPr>
          <w:rFonts w:ascii="Arial" w:eastAsia="Times New Roman" w:hAnsi="Arial" w:cs="Arial"/>
          <w:color w:val="000000"/>
          <w:sz w:val="22"/>
          <w:szCs w:val="22"/>
        </w:rPr>
        <w:t>) Genome-browser tracks depict ChIP-Seq peaks.</w:t>
      </w:r>
    </w:p>
    <w:p w14:paraId="2865B8EA" w14:textId="6738FFB9" w:rsidR="00CE76FF" w:rsidRPr="00FC7226" w:rsidRDefault="00CE76FF" w:rsidP="00CE76FF">
      <w:pPr>
        <w:spacing w:line="360" w:lineRule="auto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FC7226">
        <w:rPr>
          <w:rFonts w:ascii="Arial" w:eastAsia="Times New Roman" w:hAnsi="Arial" w:cs="Arial"/>
          <w:color w:val="000000"/>
          <w:sz w:val="22"/>
          <w:szCs w:val="22"/>
        </w:rPr>
        <w:t>(</w:t>
      </w:r>
      <w:r>
        <w:rPr>
          <w:rFonts w:ascii="Arial" w:eastAsia="Times New Roman" w:hAnsi="Arial" w:cs="Arial"/>
          <w:color w:val="000000"/>
          <w:sz w:val="22"/>
          <w:szCs w:val="22"/>
        </w:rPr>
        <w:t>J</w:t>
      </w:r>
      <w:r w:rsidRPr="00FC7226">
        <w:rPr>
          <w:rFonts w:ascii="Arial" w:eastAsia="Times New Roman" w:hAnsi="Arial" w:cs="Arial"/>
          <w:color w:val="000000"/>
          <w:sz w:val="22"/>
          <w:szCs w:val="22"/>
        </w:rPr>
        <w:t xml:space="preserve">) Gene expression from </w:t>
      </w:r>
      <w:r>
        <w:rPr>
          <w:rFonts w:ascii="Arial" w:eastAsia="Times New Roman" w:hAnsi="Arial" w:cs="Arial"/>
          <w:color w:val="000000"/>
          <w:sz w:val="22"/>
          <w:szCs w:val="22"/>
        </w:rPr>
        <w:t>RNA-seq</w:t>
      </w:r>
      <w:r w:rsidRPr="00FC7226">
        <w:rPr>
          <w:rFonts w:ascii="Arial" w:eastAsia="Times New Roman" w:hAnsi="Arial" w:cs="Arial"/>
          <w:color w:val="000000"/>
          <w:sz w:val="22"/>
          <w:szCs w:val="22"/>
        </w:rPr>
        <w:t xml:space="preserve"> data (see Fig 4).</w:t>
      </w:r>
    </w:p>
    <w:p w14:paraId="5B87DE89" w14:textId="77777777" w:rsidR="00C33F78" w:rsidRDefault="00C33F78"/>
    <w:sectPr w:rsidR="00C33F78" w:rsidSect="00B83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FF"/>
    <w:rsid w:val="000217D3"/>
    <w:rsid w:val="00232747"/>
    <w:rsid w:val="009C622D"/>
    <w:rsid w:val="00A45B6B"/>
    <w:rsid w:val="00B83CCC"/>
    <w:rsid w:val="00C33F78"/>
    <w:rsid w:val="00CE76FF"/>
    <w:rsid w:val="00D8705F"/>
    <w:rsid w:val="00E001ED"/>
    <w:rsid w:val="00F8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D8BAF"/>
  <w15:chartTrackingRefBased/>
  <w15:docId w15:val="{098A9395-09C4-694C-8C24-1AC1B7099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6F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6F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Jinyong</dc:creator>
  <cp:keywords/>
  <dc:description/>
  <cp:lastModifiedBy>Huitian Diao</cp:lastModifiedBy>
  <cp:revision>3</cp:revision>
  <dcterms:created xsi:type="dcterms:W3CDTF">2019-07-17T04:19:00Z</dcterms:created>
  <dcterms:modified xsi:type="dcterms:W3CDTF">2019-07-17T04:47:00Z</dcterms:modified>
</cp:coreProperties>
</file>