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5A28" w14:textId="77777777" w:rsidR="00E86D3F" w:rsidRPr="00394174" w:rsidRDefault="00E86D3F" w:rsidP="00E86D3F">
      <w:pPr>
        <w:jc w:val="both"/>
        <w:rPr>
          <w:rFonts w:asciiTheme="minorHAnsi" w:hAnsiTheme="minorHAnsi" w:cstheme="minorBidi"/>
          <w:b/>
          <w:sz w:val="26"/>
          <w:lang w:bidi="ar-AE"/>
        </w:rPr>
      </w:pPr>
    </w:p>
    <w:p w14:paraId="43C4442E" w14:textId="5B0B6BE1" w:rsidR="00E86D3F" w:rsidRPr="00F22C36" w:rsidRDefault="008B5205" w:rsidP="008B5205">
      <w:pPr>
        <w:jc w:val="center"/>
        <w:rPr>
          <w:rFonts w:asciiTheme="minorHAnsi" w:hAnsiTheme="minorHAnsi" w:cstheme="minorHAnsi"/>
          <w:b/>
          <w:sz w:val="26"/>
        </w:rPr>
      </w:pPr>
      <w:r w:rsidRPr="00661303">
        <w:rPr>
          <w:noProof/>
        </w:rPr>
        <w:drawing>
          <wp:inline distT="0" distB="0" distL="0" distR="0" wp14:anchorId="6036736C" wp14:editId="5693DAD6">
            <wp:extent cx="2282024" cy="2960307"/>
            <wp:effectExtent l="0" t="0" r="4445" b="0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99" cy="305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808F" w14:textId="77777777" w:rsidR="00E86D3F" w:rsidRPr="00F22C36" w:rsidRDefault="005D009F" w:rsidP="00E86D3F">
      <w:pPr>
        <w:jc w:val="both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EA4B1" wp14:editId="5320E18F">
                <wp:simplePos x="0" y="0"/>
                <wp:positionH relativeFrom="column">
                  <wp:posOffset>568960</wp:posOffset>
                </wp:positionH>
                <wp:positionV relativeFrom="paragraph">
                  <wp:posOffset>48895</wp:posOffset>
                </wp:positionV>
                <wp:extent cx="4736465" cy="222059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4736465" cy="222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E8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5BE552" w14:textId="77777777" w:rsidR="00E86D3F" w:rsidRPr="001B6080" w:rsidRDefault="00E86D3F" w:rsidP="00E86D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1B6080">
                              <w:rPr>
                                <w:rFonts w:ascii="Calibri" w:hAnsi="Calibri" w:cs="Calibri"/>
                                <w:color w:val="FF0000"/>
                                <w:sz w:val="56"/>
                                <w:szCs w:val="56"/>
                              </w:rPr>
                              <w:t>Internal Audit</w:t>
                            </w:r>
                          </w:p>
                          <w:p w14:paraId="047968DD" w14:textId="77777777" w:rsidR="00E86D3F" w:rsidRPr="001B6080" w:rsidRDefault="00E86D3F" w:rsidP="00E86D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1B6080">
                              <w:rPr>
                                <w:rFonts w:ascii="Calibri" w:hAnsi="Calibri" w:cs="Calibri"/>
                                <w:color w:val="FF0000"/>
                                <w:sz w:val="48"/>
                                <w:szCs w:val="48"/>
                              </w:rPr>
                              <w:t>Process Understanding</w:t>
                            </w:r>
                          </w:p>
                          <w:p w14:paraId="40B89351" w14:textId="77777777" w:rsidR="00067446" w:rsidRPr="00E86D3F" w:rsidRDefault="00067446" w:rsidP="00E86D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14:paraId="03F86AA3" w14:textId="77777777" w:rsidR="00BC678C" w:rsidRPr="008E12A1" w:rsidRDefault="00814208" w:rsidP="008142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i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sz w:val="36"/>
                                <w:szCs w:val="48"/>
                              </w:rPr>
                              <w:t>Purchasing Section</w:t>
                            </w:r>
                            <w:r w:rsidR="00F41632">
                              <w:rPr>
                                <w:rFonts w:asciiTheme="minorHAnsi" w:hAnsiTheme="minorHAnsi" w:cstheme="minorHAnsi"/>
                                <w:i/>
                                <w:sz w:val="36"/>
                                <w:szCs w:val="48"/>
                              </w:rPr>
                              <w:t xml:space="preserve"> </w:t>
                            </w:r>
                            <w:r w:rsidR="00067446">
                              <w:rPr>
                                <w:rFonts w:asciiTheme="minorHAnsi" w:hAnsiTheme="minorHAnsi" w:cstheme="minorHAnsi"/>
                                <w:i/>
                                <w:sz w:val="36"/>
                                <w:szCs w:val="48"/>
                              </w:rPr>
                              <w:t>Review</w:t>
                            </w:r>
                            <w:r w:rsidR="008E12A1">
                              <w:rPr>
                                <w:rFonts w:asciiTheme="minorHAnsi" w:hAnsiTheme="minorHAnsi" w:cstheme="minorHAnsi"/>
                                <w:i/>
                                <w:sz w:val="36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EA4B1" id="Rectangle 3" o:spid="_x0000_s1026" style="position:absolute;left:0;text-align:left;margin-left:44.8pt;margin-top:3.85pt;width:372.95pt;height:17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" filled="f" fillcolor="#7f7e82" stroked="f">
                <v:textbox inset="0,0,0,0">
                  <w:txbxContent>
                    <w:p w14:paraId="745BE552" w14:textId="77777777" w:rsidR="00E86D3F" w:rsidRPr="001B6080" w:rsidRDefault="00E86D3F" w:rsidP="00E86D3F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FF0000"/>
                          <w:sz w:val="56"/>
                          <w:szCs w:val="56"/>
                        </w:rPr>
                      </w:pPr>
                      <w:r w:rsidRPr="001B6080">
                        <w:rPr>
                          <w:rFonts w:ascii="Calibri" w:hAnsi="Calibri" w:cs="Calibri"/>
                          <w:color w:val="FF0000"/>
                          <w:sz w:val="56"/>
                          <w:szCs w:val="56"/>
                        </w:rPr>
                        <w:t>Internal Audit</w:t>
                      </w:r>
                    </w:p>
                    <w:p w14:paraId="047968DD" w14:textId="77777777" w:rsidR="00E86D3F" w:rsidRPr="001B6080" w:rsidRDefault="00E86D3F" w:rsidP="00E86D3F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FF0000"/>
                          <w:sz w:val="48"/>
                          <w:szCs w:val="48"/>
                        </w:rPr>
                      </w:pPr>
                      <w:r w:rsidRPr="001B6080">
                        <w:rPr>
                          <w:rFonts w:ascii="Calibri" w:hAnsi="Calibri" w:cs="Calibri"/>
                          <w:color w:val="FF0000"/>
                          <w:sz w:val="48"/>
                          <w:szCs w:val="48"/>
                        </w:rPr>
                        <w:t>Process Understanding</w:t>
                      </w:r>
                    </w:p>
                    <w:p w14:paraId="40B89351" w14:textId="77777777" w:rsidR="00067446" w:rsidRPr="00E86D3F" w:rsidRDefault="00067446" w:rsidP="00E86D3F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000000"/>
                          <w:sz w:val="48"/>
                          <w:szCs w:val="48"/>
                        </w:rPr>
                      </w:pPr>
                    </w:p>
                    <w:p w14:paraId="03F86AA3" w14:textId="77777777" w:rsidR="00BC678C" w:rsidRPr="008E12A1" w:rsidRDefault="00814208" w:rsidP="00814208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i/>
                          <w:sz w:val="36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sz w:val="36"/>
                          <w:szCs w:val="48"/>
                        </w:rPr>
                        <w:t>Purchasing Section</w:t>
                      </w:r>
                      <w:r w:rsidR="00F41632">
                        <w:rPr>
                          <w:rFonts w:asciiTheme="minorHAnsi" w:hAnsiTheme="minorHAnsi" w:cstheme="minorHAnsi"/>
                          <w:i/>
                          <w:sz w:val="36"/>
                          <w:szCs w:val="48"/>
                        </w:rPr>
                        <w:t xml:space="preserve"> </w:t>
                      </w:r>
                      <w:r w:rsidR="00067446">
                        <w:rPr>
                          <w:rFonts w:asciiTheme="minorHAnsi" w:hAnsiTheme="minorHAnsi" w:cstheme="minorHAnsi"/>
                          <w:i/>
                          <w:sz w:val="36"/>
                          <w:szCs w:val="48"/>
                        </w:rPr>
                        <w:t>Review</w:t>
                      </w:r>
                      <w:r w:rsidR="008E12A1">
                        <w:rPr>
                          <w:rFonts w:asciiTheme="minorHAnsi" w:hAnsiTheme="minorHAnsi" w:cstheme="minorHAnsi"/>
                          <w:i/>
                          <w:sz w:val="36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8E8E4B6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599AF022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27FB3646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6B5DE0D0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0B866D0C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3F1224F9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36214677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35990D30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4B9BA8A1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2DA0F930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138471F8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5B14EE2A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4D01AE81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54905E42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  <w:sz w:val="26"/>
        </w:rPr>
      </w:pPr>
    </w:p>
    <w:p w14:paraId="417CEA2F" w14:textId="77777777" w:rsidR="00E86D3F" w:rsidRPr="00F22C36" w:rsidRDefault="00E86D3F" w:rsidP="00E86D3F">
      <w:pPr>
        <w:spacing w:after="240"/>
        <w:rPr>
          <w:rFonts w:asciiTheme="minorHAnsi" w:hAnsiTheme="minorHAnsi" w:cstheme="minorHAnsi"/>
          <w:b/>
          <w:sz w:val="28"/>
          <w:szCs w:val="28"/>
        </w:rPr>
      </w:pPr>
      <w:r w:rsidRPr="00F22C36">
        <w:rPr>
          <w:rFonts w:asciiTheme="minorHAnsi" w:hAnsiTheme="minorHAnsi" w:cstheme="minorHAnsi"/>
          <w:b/>
          <w:sz w:val="28"/>
          <w:szCs w:val="28"/>
        </w:rPr>
        <w:t>Document Information and 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5"/>
        <w:gridCol w:w="9505"/>
      </w:tblGrid>
      <w:tr w:rsidR="00E86D3F" w:rsidRPr="00F22C36" w14:paraId="59329811" w14:textId="77777777" w:rsidTr="008B5205">
        <w:trPr>
          <w:trHeight w:val="468"/>
        </w:trPr>
        <w:tc>
          <w:tcPr>
            <w:tcW w:w="1330" w:type="pct"/>
            <w:shd w:val="clear" w:color="auto" w:fill="FF0000"/>
            <w:vAlign w:val="center"/>
          </w:tcPr>
          <w:p w14:paraId="7030EF9A" w14:textId="77777777" w:rsidR="00E86D3F" w:rsidRPr="00F22C36" w:rsidRDefault="00E86D3F" w:rsidP="00B44E84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22C36">
              <w:rPr>
                <w:rFonts w:asciiTheme="minorHAnsi" w:hAnsiTheme="minorHAnsi" w:cstheme="minorHAnsi"/>
                <w:b/>
                <w:color w:val="FFFFFF" w:themeColor="background1"/>
              </w:rPr>
              <w:br w:type="page"/>
              <w:t>File Name</w:t>
            </w:r>
          </w:p>
        </w:tc>
        <w:tc>
          <w:tcPr>
            <w:tcW w:w="3670" w:type="pct"/>
            <w:shd w:val="clear" w:color="auto" w:fill="auto"/>
            <w:vAlign w:val="center"/>
          </w:tcPr>
          <w:p w14:paraId="2064E1AE" w14:textId="77777777" w:rsidR="00E86D3F" w:rsidRPr="00F22C36" w:rsidRDefault="00E86D3F" w:rsidP="00B44E84">
            <w:pPr>
              <w:jc w:val="both"/>
              <w:rPr>
                <w:rFonts w:asciiTheme="minorHAnsi" w:hAnsiTheme="minorHAnsi" w:cstheme="minorHAnsi"/>
              </w:rPr>
            </w:pPr>
            <w:r w:rsidRPr="00F22C36">
              <w:rPr>
                <w:rFonts w:asciiTheme="minorHAnsi" w:hAnsiTheme="minorHAnsi" w:cstheme="minorHAnsi"/>
              </w:rPr>
              <w:t>Process Understanding</w:t>
            </w:r>
          </w:p>
        </w:tc>
      </w:tr>
      <w:tr w:rsidR="00E86D3F" w:rsidRPr="00F22C36" w14:paraId="56308530" w14:textId="77777777" w:rsidTr="008B5205">
        <w:trPr>
          <w:trHeight w:val="434"/>
        </w:trPr>
        <w:tc>
          <w:tcPr>
            <w:tcW w:w="1330" w:type="pct"/>
            <w:shd w:val="clear" w:color="auto" w:fill="FF0000"/>
            <w:vAlign w:val="center"/>
          </w:tcPr>
          <w:p w14:paraId="0500A570" w14:textId="77777777" w:rsidR="00E86D3F" w:rsidRPr="00F22C36" w:rsidRDefault="00E86D3F" w:rsidP="00B44E84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22C36">
              <w:rPr>
                <w:rFonts w:asciiTheme="minorHAnsi" w:hAnsiTheme="minorHAnsi" w:cstheme="minorHAnsi"/>
                <w:b/>
                <w:color w:val="FFFFFF" w:themeColor="background1"/>
              </w:rPr>
              <w:t>Original Author(s)</w:t>
            </w:r>
          </w:p>
        </w:tc>
        <w:tc>
          <w:tcPr>
            <w:tcW w:w="3670" w:type="pct"/>
            <w:vAlign w:val="center"/>
          </w:tcPr>
          <w:p w14:paraId="04D76453" w14:textId="683BB88C" w:rsidR="00E86D3F" w:rsidRPr="00F22C36" w:rsidRDefault="008B5205" w:rsidP="008365C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Jad</w:t>
            </w:r>
          </w:p>
        </w:tc>
      </w:tr>
      <w:tr w:rsidR="00926E82" w:rsidRPr="00F22C36" w14:paraId="5D3D0E72" w14:textId="77777777" w:rsidTr="008B5205">
        <w:trPr>
          <w:trHeight w:val="434"/>
        </w:trPr>
        <w:tc>
          <w:tcPr>
            <w:tcW w:w="1330" w:type="pct"/>
            <w:shd w:val="clear" w:color="auto" w:fill="FF0000"/>
            <w:vAlign w:val="center"/>
          </w:tcPr>
          <w:p w14:paraId="1E7275C1" w14:textId="77777777" w:rsidR="00926E82" w:rsidRPr="00F22C36" w:rsidRDefault="00926E82" w:rsidP="00B44E84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3670" w:type="pct"/>
            <w:vAlign w:val="center"/>
          </w:tcPr>
          <w:p w14:paraId="281C357F" w14:textId="77777777" w:rsidR="00926E82" w:rsidRDefault="00926E82" w:rsidP="008365C0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A6005EE" w14:textId="77777777" w:rsidR="00E86D3F" w:rsidRPr="00F22C36" w:rsidRDefault="00E86D3F" w:rsidP="00E86D3F">
      <w:pPr>
        <w:jc w:val="both"/>
        <w:rPr>
          <w:rFonts w:asciiTheme="minorHAnsi" w:hAnsiTheme="minorHAnsi" w:cstheme="minorHAnsi"/>
          <w:b/>
        </w:rPr>
      </w:pPr>
    </w:p>
    <w:p w14:paraId="20D03F20" w14:textId="77777777" w:rsidR="00B406A5" w:rsidRPr="00F22C36" w:rsidRDefault="00B406A5" w:rsidP="00E86D3F">
      <w:pPr>
        <w:jc w:val="both"/>
        <w:rPr>
          <w:rFonts w:asciiTheme="minorHAnsi" w:hAnsiTheme="minorHAnsi" w:cstheme="minorHAnsi"/>
        </w:rPr>
      </w:pPr>
    </w:p>
    <w:tbl>
      <w:tblPr>
        <w:tblW w:w="50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11111"/>
      </w:tblGrid>
      <w:tr w:rsidR="00067446" w:rsidRPr="00F22C36" w14:paraId="571D5229" w14:textId="77777777" w:rsidTr="008B5205">
        <w:trPr>
          <w:trHeight w:val="983"/>
        </w:trPr>
        <w:tc>
          <w:tcPr>
            <w:tcW w:w="732" w:type="pct"/>
            <w:shd w:val="clear" w:color="auto" w:fill="FF0000"/>
          </w:tcPr>
          <w:p w14:paraId="701262EC" w14:textId="77777777" w:rsidR="00067446" w:rsidRPr="00F22C36" w:rsidRDefault="00067446" w:rsidP="000979EA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22C36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Background</w:t>
            </w:r>
          </w:p>
        </w:tc>
        <w:tc>
          <w:tcPr>
            <w:tcW w:w="4268" w:type="pct"/>
            <w:shd w:val="clear" w:color="auto" w:fill="auto"/>
          </w:tcPr>
          <w:p w14:paraId="0C69EFB3" w14:textId="77777777" w:rsidR="00067446" w:rsidRPr="00983791" w:rsidRDefault="00067446" w:rsidP="0081420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83791">
              <w:rPr>
                <w:rFonts w:ascii="Arial" w:eastAsiaTheme="minorHAnsi" w:hAnsi="Arial" w:cs="Arial"/>
                <w:sz w:val="24"/>
              </w:rPr>
              <w:t>With the aim of aligning and consolidating the efforts made in the field of</w:t>
            </w:r>
            <w:r w:rsidR="00EA68E8" w:rsidRPr="00983791">
              <w:rPr>
                <w:rFonts w:ascii="Arial" w:eastAsiaTheme="minorHAnsi" w:hAnsi="Arial" w:cs="Arial"/>
                <w:sz w:val="24"/>
              </w:rPr>
              <w:t xml:space="preserve"> </w:t>
            </w:r>
            <w:r w:rsidR="00814208">
              <w:rPr>
                <w:rFonts w:ascii="Arial" w:eastAsiaTheme="minorHAnsi" w:hAnsi="Arial" w:cs="Arial"/>
                <w:sz w:val="24"/>
              </w:rPr>
              <w:t>Purchasing Section,</w:t>
            </w:r>
            <w:r w:rsidR="0092316D" w:rsidRPr="0098379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2316D" w:rsidRPr="00983791">
              <w:rPr>
                <w:rFonts w:ascii="Arial" w:eastAsiaTheme="minorHAnsi" w:hAnsi="Arial" w:cs="Arial"/>
                <w:sz w:val="24"/>
              </w:rPr>
              <w:t xml:space="preserve">the roles and responsibilities of </w:t>
            </w:r>
            <w:r w:rsidR="00814208">
              <w:rPr>
                <w:rFonts w:ascii="Arial" w:eastAsiaTheme="minorHAnsi" w:hAnsi="Arial" w:cs="Arial"/>
                <w:sz w:val="24"/>
              </w:rPr>
              <w:t xml:space="preserve">Purchasing Section </w:t>
            </w:r>
            <w:r w:rsidR="00814208" w:rsidRPr="00827773">
              <w:rPr>
                <w:rFonts w:ascii="Arial" w:hAnsi="Arial" w:cs="Arial"/>
              </w:rPr>
              <w:t xml:space="preserve">is operating under the </w:t>
            </w:r>
            <w:r w:rsidR="00814208">
              <w:rPr>
                <w:rFonts w:ascii="Arial" w:hAnsi="Arial" w:cs="Arial"/>
              </w:rPr>
              <w:t xml:space="preserve">Support Services Function </w:t>
            </w:r>
            <w:r w:rsidR="00814208" w:rsidRPr="00827773">
              <w:rPr>
                <w:rFonts w:ascii="Arial" w:hAnsi="Arial" w:cs="Arial"/>
              </w:rPr>
              <w:t xml:space="preserve">within the </w:t>
            </w:r>
            <w:r w:rsidR="00814208">
              <w:rPr>
                <w:rFonts w:ascii="Arial" w:hAnsi="Arial" w:cs="Arial"/>
              </w:rPr>
              <w:t>UPP.</w:t>
            </w:r>
            <w:r w:rsidR="00814208">
              <w:rPr>
                <w:rFonts w:ascii="Arial" w:eastAsiaTheme="minorHAnsi" w:hAnsi="Arial" w:cs="Arial"/>
                <w:sz w:val="24"/>
              </w:rPr>
              <w:t xml:space="preserve">   </w:t>
            </w:r>
            <w:r w:rsidR="00814208" w:rsidRPr="00983791">
              <w:rPr>
                <w:rFonts w:ascii="Arial" w:eastAsiaTheme="minorHAnsi" w:hAnsi="Arial" w:cs="Arial"/>
                <w:sz w:val="24"/>
              </w:rPr>
              <w:t xml:space="preserve"> </w:t>
            </w:r>
          </w:p>
        </w:tc>
      </w:tr>
      <w:tr w:rsidR="000979EA" w:rsidRPr="00F22C36" w14:paraId="05BEBD6F" w14:textId="77777777" w:rsidTr="008B5205">
        <w:trPr>
          <w:trHeight w:val="2780"/>
        </w:trPr>
        <w:tc>
          <w:tcPr>
            <w:tcW w:w="732" w:type="pct"/>
            <w:shd w:val="clear" w:color="auto" w:fill="FF0000"/>
          </w:tcPr>
          <w:p w14:paraId="1AE5C836" w14:textId="77777777" w:rsidR="00893E3F" w:rsidRDefault="00893E3F" w:rsidP="002C5C3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7C3E86DF" w14:textId="77777777" w:rsidR="000979EA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Purchasing</w:t>
            </w:r>
            <w:r w:rsidR="0092316D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Section </w:t>
            </w:r>
            <w:r w:rsidR="00282A21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- Overview</w:t>
            </w:r>
            <w:r w:rsidR="000979EA" w:rsidRPr="000979EA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: </w:t>
            </w:r>
          </w:p>
          <w:p w14:paraId="05C90F41" w14:textId="77777777" w:rsidR="00814208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0D5AD602" w14:textId="77777777" w:rsidR="00814208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70D0B057" w14:textId="77777777" w:rsidR="00814208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1109DA7E" w14:textId="77777777" w:rsidR="00814208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420FC201" w14:textId="77777777" w:rsidR="00814208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71927CF9" w14:textId="77777777" w:rsidR="00814208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1BD149C8" w14:textId="77777777" w:rsidR="00814208" w:rsidRPr="000979EA" w:rsidRDefault="00814208" w:rsidP="00814208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470831BB" w14:textId="77777777" w:rsidR="000979EA" w:rsidRDefault="000979EA" w:rsidP="000979EA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0"/>
                <w:szCs w:val="18"/>
              </w:rPr>
            </w:pPr>
          </w:p>
          <w:p w14:paraId="2068B5FE" w14:textId="77777777" w:rsidR="000979EA" w:rsidRDefault="000979EA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6C1A89B1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512142E3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040FD469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6E5480BB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3ADB75CD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10431AA8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7962690F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4F654FF9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7CB9D01B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7F71950A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436F9CF0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2BE48A37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79973073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382AAF21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588D487F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3F23233A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420B41E9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44EC5951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3A2B51D1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2AEE8D27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1CA9DCEC" w14:textId="77777777" w:rsidR="00591704" w:rsidRDefault="00591704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3B8D15B6" w14:textId="77777777" w:rsidR="0043476E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  <w:p w14:paraId="2E86C800" w14:textId="77777777" w:rsidR="0043476E" w:rsidRPr="0043476E" w:rsidRDefault="0043476E" w:rsidP="0043476E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3476E">
              <w:rPr>
                <w:rFonts w:ascii="Arial" w:hAnsi="Arial" w:cs="Arial"/>
                <w:b/>
                <w:bCs/>
                <w:color w:val="FFFFFF" w:themeColor="background1"/>
              </w:rPr>
              <w:t>Detailed Processes</w:t>
            </w:r>
          </w:p>
          <w:p w14:paraId="03B37C86" w14:textId="77777777" w:rsidR="0043476E" w:rsidRPr="00F22C36" w:rsidRDefault="0043476E" w:rsidP="000979EA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4268" w:type="pct"/>
            <w:shd w:val="clear" w:color="auto" w:fill="auto"/>
          </w:tcPr>
          <w:p w14:paraId="17BCCFF6" w14:textId="77777777" w:rsidR="00893E3F" w:rsidRPr="00983791" w:rsidRDefault="00893E3F" w:rsidP="00836994">
            <w:pPr>
              <w:jc w:val="both"/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  <w:p w14:paraId="4182DB72" w14:textId="77777777" w:rsidR="00836994" w:rsidRPr="008A1A7E" w:rsidRDefault="00836994" w:rsidP="00836994">
            <w:pPr>
              <w:jc w:val="both"/>
              <w:rPr>
                <w:rFonts w:ascii="Arial" w:hAnsi="Arial" w:cs="Arial"/>
                <w:b/>
                <w:bCs/>
                <w:color w:val="002060"/>
                <w:sz w:val="24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  <w:sz w:val="24"/>
                <w:u w:val="single"/>
              </w:rPr>
              <w:t>Introduction</w:t>
            </w:r>
            <w:r w:rsidRPr="008A1A7E">
              <w:rPr>
                <w:rFonts w:ascii="Arial" w:hAnsi="Arial" w:cs="Arial"/>
                <w:b/>
                <w:bCs/>
                <w:color w:val="002060"/>
                <w:sz w:val="24"/>
              </w:rPr>
              <w:t>:</w:t>
            </w:r>
          </w:p>
          <w:p w14:paraId="54297E67" w14:textId="77777777" w:rsidR="00361122" w:rsidRPr="00983791" w:rsidRDefault="00361122" w:rsidP="00836994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56E31507" w14:textId="29FEC7B7" w:rsidR="00893E3F" w:rsidRPr="008B5205" w:rsidRDefault="00814208" w:rsidP="00814208">
            <w:pPr>
              <w:jc w:val="both"/>
              <w:rPr>
                <w:rFonts w:ascii="Arial" w:hAnsi="Arial" w:cs="Arial"/>
                <w:color w:val="548DD4" w:themeColor="text2" w:themeTint="99"/>
              </w:rPr>
            </w:pPr>
            <w:r w:rsidRPr="00814208">
              <w:rPr>
                <w:rFonts w:ascii="Arial" w:hAnsi="Arial" w:cs="Arial"/>
                <w:color w:val="000000" w:themeColor="text1"/>
                <w:sz w:val="24"/>
              </w:rPr>
              <w:t xml:space="preserve">The Purchasing Section is </w:t>
            </w:r>
            <w:proofErr w:type="gramStart"/>
            <w:r w:rsidRPr="00814208">
              <w:rPr>
                <w:rFonts w:ascii="Arial" w:hAnsi="Arial" w:cs="Arial"/>
                <w:color w:val="000000" w:themeColor="text1"/>
                <w:sz w:val="24"/>
              </w:rPr>
              <w:t>have</w:t>
            </w:r>
            <w:proofErr w:type="gramEnd"/>
            <w:r w:rsidRPr="00814208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8B5205" w:rsidRPr="008B5205">
              <w:rPr>
                <w:rFonts w:ascii="Arial" w:hAnsi="Arial" w:cs="Arial"/>
                <w:color w:val="548DD4" w:themeColor="text2" w:themeTint="99"/>
                <w:sz w:val="24"/>
              </w:rPr>
              <w:t>2</w:t>
            </w:r>
            <w:r w:rsidRPr="008B5205">
              <w:rPr>
                <w:rFonts w:ascii="Arial" w:hAnsi="Arial" w:cs="Arial"/>
                <w:color w:val="548DD4" w:themeColor="text2" w:themeTint="99"/>
                <w:sz w:val="24"/>
              </w:rPr>
              <w:t xml:space="preserve"> </w:t>
            </w:r>
            <w:r w:rsidRPr="00814208">
              <w:rPr>
                <w:rFonts w:ascii="Arial" w:hAnsi="Arial" w:cs="Arial"/>
                <w:color w:val="000000" w:themeColor="text1"/>
                <w:sz w:val="24"/>
              </w:rPr>
              <w:t xml:space="preserve">employees and centralization for the </w:t>
            </w:r>
            <w:r w:rsidRPr="008B5205">
              <w:rPr>
                <w:rFonts w:ascii="Arial" w:hAnsi="Arial" w:cs="Arial"/>
                <w:color w:val="548DD4" w:themeColor="text2" w:themeTint="99"/>
                <w:sz w:val="24"/>
              </w:rPr>
              <w:t xml:space="preserve">three </w:t>
            </w:r>
            <w:r w:rsidRPr="00814208">
              <w:rPr>
                <w:rFonts w:ascii="Arial" w:hAnsi="Arial" w:cs="Arial"/>
                <w:color w:val="000000" w:themeColor="text1"/>
                <w:sz w:val="24"/>
              </w:rPr>
              <w:t xml:space="preserve">company </w:t>
            </w:r>
            <w:r w:rsidR="008B5205" w:rsidRPr="008B5205">
              <w:rPr>
                <w:rFonts w:ascii="Arial" w:hAnsi="Arial" w:cs="Arial"/>
                <w:color w:val="548DD4" w:themeColor="text2" w:themeTint="99"/>
                <w:sz w:val="24"/>
              </w:rPr>
              <w:t>Sharjah Media City Authority, Shams Media Services and Shams Development and Investments</w:t>
            </w:r>
            <w:r w:rsidRPr="008B5205">
              <w:rPr>
                <w:rFonts w:ascii="Arial" w:hAnsi="Arial" w:cs="Arial"/>
                <w:color w:val="548DD4" w:themeColor="text2" w:themeTint="99"/>
                <w:sz w:val="24"/>
              </w:rPr>
              <w:t>.</w:t>
            </w:r>
          </w:p>
          <w:p w14:paraId="60AA7EB0" w14:textId="77777777" w:rsidR="00983791" w:rsidRDefault="00983791" w:rsidP="00983791">
            <w:pPr>
              <w:pStyle w:val="ListParagraph"/>
              <w:ind w:left="630"/>
              <w:rPr>
                <w:rFonts w:ascii="Arial" w:eastAsia="Calibri" w:hAnsi="Arial" w:cs="Arial"/>
                <w:b/>
              </w:rPr>
            </w:pPr>
          </w:p>
          <w:p w14:paraId="227818FF" w14:textId="2BCE8334" w:rsidR="00814208" w:rsidRPr="008A1A7E" w:rsidRDefault="00814208" w:rsidP="00814208">
            <w:pPr>
              <w:spacing w:before="120" w:after="60"/>
              <w:rPr>
                <w:rFonts w:ascii="Arial" w:hAnsi="Arial" w:cs="Arial"/>
                <w:b/>
                <w:bCs/>
                <w:color w:val="002060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</w:rPr>
              <w:t xml:space="preserve">Formation of </w:t>
            </w:r>
            <w:r w:rsidR="008A1A7E" w:rsidRPr="008A1A7E">
              <w:rPr>
                <w:rFonts w:ascii="Arial" w:hAnsi="Arial" w:cs="Arial"/>
                <w:b/>
                <w:bCs/>
                <w:color w:val="002060"/>
              </w:rPr>
              <w:t>Committees:</w:t>
            </w:r>
            <w:r w:rsidRPr="008A1A7E">
              <w:rPr>
                <w:rFonts w:ascii="Arial" w:hAnsi="Arial" w:cs="Arial"/>
                <w:b/>
                <w:bCs/>
                <w:color w:val="002060"/>
              </w:rPr>
              <w:t xml:space="preserve"> </w:t>
            </w:r>
          </w:p>
          <w:p w14:paraId="7463ACE6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There are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two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committees formed by the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management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to run the core activities related to tendering / bids opening, evaluation and Auctions undertaken by the Procurement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The committees are:</w:t>
            </w:r>
          </w:p>
          <w:p w14:paraId="2EECF196" w14:textId="77777777" w:rsidR="00814208" w:rsidRDefault="00814208" w:rsidP="00814208">
            <w:pPr>
              <w:pStyle w:val="BodyText"/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Bids opening committee.</w:t>
            </w:r>
          </w:p>
          <w:p w14:paraId="52FCCF0C" w14:textId="77777777" w:rsidR="00814208" w:rsidRDefault="00814208" w:rsidP="00814208">
            <w:pPr>
              <w:pStyle w:val="BodyText"/>
              <w:numPr>
                <w:ilvl w:val="0"/>
                <w:numId w:val="13"/>
              </w:numPr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Purchasing committee (bids evaluation committee).</w:t>
            </w:r>
          </w:p>
          <w:p w14:paraId="479FEB1B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5D0B4C4A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157A98CA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1B44320F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22413787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3AFBF3DC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6EC71324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66362C36" w14:textId="77777777" w:rsidR="00591704" w:rsidRPr="008A1A7E" w:rsidRDefault="00591704" w:rsidP="00591704">
            <w:pPr>
              <w:spacing w:before="120" w:after="60"/>
              <w:rPr>
                <w:rFonts w:ascii="Arial" w:hAnsi="Arial" w:cs="Arial"/>
                <w:b/>
                <w:bCs/>
                <w:i/>
                <w:iCs/>
                <w:color w:val="002060"/>
                <w:u w:val="single"/>
              </w:rPr>
            </w:pPr>
            <w:r w:rsidRPr="008A1A7E">
              <w:rPr>
                <w:rFonts w:ascii="Arial" w:hAnsi="Arial" w:cs="Arial"/>
                <w:b/>
                <w:bCs/>
                <w:i/>
                <w:iCs/>
                <w:color w:val="002060"/>
                <w:u w:val="single"/>
              </w:rPr>
              <w:t>Overview of Purchasing Activities</w:t>
            </w:r>
          </w:p>
          <w:p w14:paraId="342249D1" w14:textId="77777777" w:rsidR="008B5205" w:rsidRPr="008B5205" w:rsidRDefault="00814208" w:rsidP="008B5205">
            <w:pPr>
              <w:jc w:val="both"/>
              <w:rPr>
                <w:rFonts w:ascii="Arial" w:hAnsi="Arial" w:cs="Arial"/>
                <w:color w:val="548DD4" w:themeColor="text2" w:themeTint="99"/>
              </w:rPr>
            </w:pPr>
            <w:r w:rsidRPr="0082777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purchasing</w:t>
            </w:r>
            <w:r w:rsidRPr="00827773">
              <w:rPr>
                <w:rFonts w:ascii="Arial" w:hAnsi="Arial" w:cs="Arial"/>
              </w:rPr>
              <w:t xml:space="preserve"> process shall be applicable to all purchases of materials, services and capital assets carried out by </w:t>
            </w:r>
            <w:r w:rsidR="008B5205" w:rsidRPr="008B5205">
              <w:rPr>
                <w:rFonts w:ascii="Arial" w:hAnsi="Arial" w:cs="Arial"/>
                <w:color w:val="548DD4" w:themeColor="text2" w:themeTint="99"/>
                <w:sz w:val="24"/>
              </w:rPr>
              <w:t>Sharjah Media City Authority, Shams Media Services and Shams Development and Investments.</w:t>
            </w:r>
          </w:p>
          <w:p w14:paraId="20C97013" w14:textId="227699EA" w:rsidR="00591704" w:rsidRPr="00827773" w:rsidRDefault="00591704" w:rsidP="00814208">
            <w:pPr>
              <w:pStyle w:val="BodyText"/>
              <w:spacing w:before="120" w:after="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tbl>
            <w:tblPr>
              <w:tblW w:w="10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80"/>
              <w:gridCol w:w="3150"/>
              <w:gridCol w:w="5040"/>
            </w:tblGrid>
            <w:tr w:rsidR="00814208" w:rsidRPr="000F6305" w14:paraId="4837FC13" w14:textId="77777777" w:rsidTr="008B5205">
              <w:trPr>
                <w:trHeight w:val="432"/>
              </w:trPr>
              <w:tc>
                <w:tcPr>
                  <w:tcW w:w="2680" w:type="dxa"/>
                  <w:shd w:val="clear" w:color="auto" w:fill="0070C0"/>
                </w:tcPr>
                <w:p w14:paraId="6ADD4C1C" w14:textId="77777777" w:rsidR="00814208" w:rsidRPr="000F6305" w:rsidRDefault="00814208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 w:rsidRPr="000F6305">
                    <w:rPr>
                      <w:rFonts w:ascii="Arial" w:hAnsi="Arial" w:cs="Arial"/>
                      <w:b/>
                      <w:color w:val="FFFFFF"/>
                    </w:rPr>
                    <w:t>Description</w:t>
                  </w:r>
                </w:p>
              </w:tc>
              <w:tc>
                <w:tcPr>
                  <w:tcW w:w="3150" w:type="dxa"/>
                  <w:shd w:val="clear" w:color="auto" w:fill="0070C0"/>
                </w:tcPr>
                <w:p w14:paraId="46BDCBC0" w14:textId="77777777" w:rsidR="00814208" w:rsidRPr="000F6305" w:rsidRDefault="00814208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 w:rsidRPr="000F6305">
                    <w:rPr>
                      <w:rFonts w:ascii="Arial" w:hAnsi="Arial" w:cs="Arial"/>
                      <w:b/>
                      <w:color w:val="FFFFFF"/>
                    </w:rPr>
                    <w:t>Value (AED)</w:t>
                  </w:r>
                </w:p>
              </w:tc>
              <w:tc>
                <w:tcPr>
                  <w:tcW w:w="5040" w:type="dxa"/>
                  <w:shd w:val="clear" w:color="auto" w:fill="0070C0"/>
                </w:tcPr>
                <w:p w14:paraId="7A3E6F12" w14:textId="77777777" w:rsidR="00814208" w:rsidRPr="000F6305" w:rsidRDefault="00814208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 w:rsidRPr="000F6305">
                    <w:rPr>
                      <w:rFonts w:ascii="Arial" w:hAnsi="Arial" w:cs="Arial"/>
                      <w:b/>
                      <w:color w:val="FFFFFF"/>
                    </w:rPr>
                    <w:t xml:space="preserve">Nature of </w:t>
                  </w:r>
                  <w:r>
                    <w:rPr>
                      <w:rFonts w:ascii="Arial" w:hAnsi="Arial" w:cs="Arial"/>
                      <w:b/>
                      <w:color w:val="FFFFFF"/>
                    </w:rPr>
                    <w:t>Purchasing</w:t>
                  </w:r>
                </w:p>
              </w:tc>
            </w:tr>
            <w:tr w:rsidR="00814208" w:rsidRPr="000F6305" w14:paraId="36AC8A9F" w14:textId="77777777" w:rsidTr="007732A1">
              <w:trPr>
                <w:trHeight w:val="416"/>
              </w:trPr>
              <w:tc>
                <w:tcPr>
                  <w:tcW w:w="2680" w:type="dxa"/>
                  <w:vMerge w:val="restart"/>
                </w:tcPr>
                <w:p w14:paraId="26CE4C88" w14:textId="77777777" w:rsidR="00814208" w:rsidRPr="000F6305" w:rsidRDefault="00814208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  <w:bCs/>
                    </w:rPr>
                  </w:pPr>
                  <w:r w:rsidRPr="000F6305">
                    <w:rPr>
                      <w:rFonts w:ascii="Arial" w:hAnsi="Arial" w:cs="Arial"/>
                      <w:bCs/>
                    </w:rPr>
                    <w:t>Request for Quotation (RFQ)</w:t>
                  </w:r>
                </w:p>
              </w:tc>
              <w:tc>
                <w:tcPr>
                  <w:tcW w:w="3150" w:type="dxa"/>
                </w:tcPr>
                <w:p w14:paraId="535AB8E6" w14:textId="4DA8DE95" w:rsidR="00814208" w:rsidRPr="000F6305" w:rsidRDefault="00814208" w:rsidP="005443BD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 w:rsidRPr="000F6305">
                    <w:rPr>
                      <w:rFonts w:ascii="Arial" w:hAnsi="Arial" w:cs="Arial"/>
                    </w:rPr>
                    <w:t xml:space="preserve">Between </w:t>
                  </w:r>
                  <w:r w:rsidR="005443BD">
                    <w:rPr>
                      <w:rFonts w:ascii="Arial" w:hAnsi="Arial" w:cs="Arial"/>
                    </w:rPr>
                    <w:t>1</w:t>
                  </w:r>
                  <w:r w:rsidRPr="000F6305">
                    <w:rPr>
                      <w:rFonts w:ascii="Arial" w:hAnsi="Arial" w:cs="Arial"/>
                    </w:rPr>
                    <w:t xml:space="preserve"> and </w:t>
                  </w:r>
                  <w:r w:rsidR="008B5205">
                    <w:rPr>
                      <w:rFonts w:ascii="Arial" w:hAnsi="Arial" w:cs="Arial"/>
                    </w:rPr>
                    <w:t>3</w:t>
                  </w:r>
                  <w:r>
                    <w:rPr>
                      <w:rFonts w:ascii="Arial" w:hAnsi="Arial" w:cs="Arial"/>
                    </w:rPr>
                    <w:t>,000</w:t>
                  </w:r>
                </w:p>
              </w:tc>
              <w:tc>
                <w:tcPr>
                  <w:tcW w:w="5040" w:type="dxa"/>
                </w:tcPr>
                <w:p w14:paraId="5A7431EF" w14:textId="77777777" w:rsidR="00814208" w:rsidRPr="000F6305" w:rsidRDefault="005443BD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Direct Purchasing.</w:t>
                  </w:r>
                </w:p>
              </w:tc>
            </w:tr>
            <w:tr w:rsidR="00814208" w:rsidRPr="000F6305" w14:paraId="6E7C3ED7" w14:textId="77777777" w:rsidTr="007732A1">
              <w:trPr>
                <w:trHeight w:val="405"/>
              </w:trPr>
              <w:tc>
                <w:tcPr>
                  <w:tcW w:w="2680" w:type="dxa"/>
                  <w:vMerge/>
                </w:tcPr>
                <w:p w14:paraId="144EC5B7" w14:textId="77777777" w:rsidR="00814208" w:rsidRPr="000F6305" w:rsidRDefault="00814208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50" w:type="dxa"/>
                </w:tcPr>
                <w:p w14:paraId="2D03A9B1" w14:textId="502D7B6E" w:rsidR="00814208" w:rsidRPr="000F6305" w:rsidRDefault="00814208" w:rsidP="005443BD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 w:rsidRPr="000F6305">
                    <w:rPr>
                      <w:rFonts w:ascii="Arial" w:hAnsi="Arial" w:cs="Arial"/>
                    </w:rPr>
                    <w:t xml:space="preserve">Between </w:t>
                  </w:r>
                  <w:r w:rsidR="008B5205">
                    <w:rPr>
                      <w:rFonts w:ascii="Arial" w:hAnsi="Arial" w:cs="Arial"/>
                    </w:rPr>
                    <w:t>3</w:t>
                  </w:r>
                  <w:r>
                    <w:rPr>
                      <w:rFonts w:ascii="Arial" w:hAnsi="Arial" w:cs="Arial"/>
                    </w:rPr>
                    <w:t>,00</w:t>
                  </w:r>
                  <w:r w:rsidR="005443BD">
                    <w:rPr>
                      <w:rFonts w:ascii="Arial" w:hAnsi="Arial" w:cs="Arial"/>
                    </w:rPr>
                    <w:t xml:space="preserve">1 Up </w:t>
                  </w:r>
                  <w:proofErr w:type="gramStart"/>
                  <w:r w:rsidR="005443BD">
                    <w:rPr>
                      <w:rFonts w:ascii="Arial" w:hAnsi="Arial" w:cs="Arial"/>
                    </w:rPr>
                    <w:t xml:space="preserve">to </w:t>
                  </w:r>
                  <w:r w:rsidRPr="000F6305">
                    <w:rPr>
                      <w:rFonts w:ascii="Arial" w:hAnsi="Arial" w:cs="Arial"/>
                    </w:rPr>
                    <w:t xml:space="preserve"> </w:t>
                  </w:r>
                  <w:r w:rsidR="008B5205">
                    <w:rPr>
                      <w:rFonts w:ascii="Arial" w:hAnsi="Arial" w:cs="Arial"/>
                    </w:rPr>
                    <w:t>500</w:t>
                  </w:r>
                  <w:r>
                    <w:rPr>
                      <w:rFonts w:ascii="Arial" w:hAnsi="Arial" w:cs="Arial"/>
                    </w:rPr>
                    <w:t>,000</w:t>
                  </w:r>
                  <w:proofErr w:type="gramEnd"/>
                </w:p>
              </w:tc>
              <w:tc>
                <w:tcPr>
                  <w:tcW w:w="5040" w:type="dxa"/>
                </w:tcPr>
                <w:p w14:paraId="0091A539" w14:textId="77777777" w:rsidR="00814208" w:rsidRPr="000F6305" w:rsidRDefault="00FA4CE8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With</w:t>
                  </w:r>
                  <w:r w:rsidR="005443BD">
                    <w:rPr>
                      <w:rFonts w:ascii="Arial" w:hAnsi="Arial" w:cs="Arial"/>
                      <w:bCs/>
                    </w:rPr>
                    <w:t xml:space="preserve"> three Quotation. </w:t>
                  </w:r>
                </w:p>
              </w:tc>
            </w:tr>
            <w:tr w:rsidR="00814208" w:rsidRPr="000F6305" w14:paraId="5E04AE3E" w14:textId="77777777" w:rsidTr="007732A1">
              <w:trPr>
                <w:trHeight w:val="405"/>
              </w:trPr>
              <w:tc>
                <w:tcPr>
                  <w:tcW w:w="2680" w:type="dxa"/>
                </w:tcPr>
                <w:p w14:paraId="2F83B4B8" w14:textId="77777777" w:rsidR="00814208" w:rsidRPr="000F6305" w:rsidRDefault="00814208" w:rsidP="005443BD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Tender </w:t>
                  </w:r>
                  <w:r w:rsidR="005443BD">
                    <w:rPr>
                      <w:rFonts w:ascii="Arial" w:hAnsi="Arial" w:cs="Arial"/>
                    </w:rPr>
                    <w:t xml:space="preserve">purchasing </w:t>
                  </w:r>
                </w:p>
              </w:tc>
              <w:tc>
                <w:tcPr>
                  <w:tcW w:w="3150" w:type="dxa"/>
                </w:tcPr>
                <w:p w14:paraId="6AB8CA89" w14:textId="02374742" w:rsidR="00814208" w:rsidRPr="000F6305" w:rsidRDefault="00814208" w:rsidP="005443BD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More than </w:t>
                  </w:r>
                  <w:r w:rsidR="008B5205">
                    <w:rPr>
                      <w:rFonts w:ascii="Arial" w:hAnsi="Arial" w:cs="Arial"/>
                    </w:rPr>
                    <w:t>500</w:t>
                  </w:r>
                  <w:r>
                    <w:rPr>
                      <w:rFonts w:ascii="Arial" w:hAnsi="Arial" w:cs="Arial"/>
                    </w:rPr>
                    <w:t>,000</w:t>
                  </w:r>
                  <w:r w:rsidR="005443BD">
                    <w:rPr>
                      <w:rFonts w:ascii="Arial" w:hAnsi="Arial" w:cs="Arial"/>
                    </w:rPr>
                    <w:t xml:space="preserve"> and above </w:t>
                  </w:r>
                </w:p>
              </w:tc>
              <w:tc>
                <w:tcPr>
                  <w:tcW w:w="5040" w:type="dxa"/>
                </w:tcPr>
                <w:p w14:paraId="4E3EE5DA" w14:textId="77777777" w:rsidR="00814208" w:rsidRPr="000F6305" w:rsidRDefault="00814208" w:rsidP="00814208">
                  <w:pPr>
                    <w:tabs>
                      <w:tab w:val="center" w:pos="4320"/>
                      <w:tab w:val="right" w:pos="8640"/>
                    </w:tabs>
                    <w:spacing w:before="60" w:after="60"/>
                    <w:jc w:val="both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Tender requires at least invitations to a minimum of 3 vendors.</w:t>
                  </w:r>
                </w:p>
              </w:tc>
            </w:tr>
          </w:tbl>
          <w:p w14:paraId="749D5663" w14:textId="77777777" w:rsidR="00814208" w:rsidRPr="00827773" w:rsidRDefault="00814208" w:rsidP="00814208">
            <w:pPr>
              <w:pStyle w:val="BodyText"/>
              <w:spacing w:before="0" w:after="6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53081A4F" w14:textId="77777777" w:rsidR="00814208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78E63CC3" w14:textId="77777777" w:rsidR="00C56BBF" w:rsidRPr="008A1A7E" w:rsidRDefault="00C56BBF" w:rsidP="00C56BBF">
            <w:pPr>
              <w:pStyle w:val="BodyText"/>
              <w:spacing w:before="120" w:after="60" w:line="240" w:lineRule="auto"/>
              <w:jc w:val="both"/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  <w:t>The core processes are classified into the following :</w:t>
            </w:r>
          </w:p>
          <w:p w14:paraId="33B5EC8B" w14:textId="77777777" w:rsidR="00C56BBF" w:rsidRPr="00827773" w:rsidRDefault="00C56BBF" w:rsidP="00C56BBF">
            <w:pPr>
              <w:pStyle w:val="BodyText"/>
              <w:spacing w:before="60" w:after="6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654052F5" w14:textId="77777777" w:rsidR="00C56BBF" w:rsidRPr="00827773" w:rsidRDefault="00C56BBF" w:rsidP="00C56BBF">
            <w:pPr>
              <w:pStyle w:val="BodyText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 xml:space="preserve"> Planning</w:t>
            </w:r>
          </w:p>
          <w:p w14:paraId="6FBB5F43" w14:textId="77777777" w:rsidR="00C56BBF" w:rsidRPr="00827773" w:rsidRDefault="00591704" w:rsidP="00C56BBF">
            <w:pPr>
              <w:pStyle w:val="BodyText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Suppliers</w:t>
            </w:r>
            <w:r w:rsidR="00C56BBF" w:rsidRPr="00827773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 xml:space="preserve"> Management</w:t>
            </w:r>
          </w:p>
          <w:p w14:paraId="02427A84" w14:textId="77777777" w:rsidR="00C56BBF" w:rsidRPr="00827773" w:rsidRDefault="00C56BBF" w:rsidP="00C56BBF">
            <w:pPr>
              <w:pStyle w:val="BodyText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Purchasing Process</w:t>
            </w:r>
          </w:p>
          <w:p w14:paraId="4B62C017" w14:textId="77777777" w:rsidR="00C56BBF" w:rsidRPr="00827773" w:rsidRDefault="00C56BBF" w:rsidP="00C56BBF">
            <w:pPr>
              <w:pStyle w:val="BodyText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Tendering Process</w:t>
            </w:r>
          </w:p>
          <w:p w14:paraId="26701DA8" w14:textId="77777777" w:rsidR="00C56BBF" w:rsidRPr="00827773" w:rsidRDefault="00C56BBF" w:rsidP="00C56BBF">
            <w:pPr>
              <w:pStyle w:val="BodyText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Contracts Administration</w:t>
            </w:r>
          </w:p>
          <w:p w14:paraId="362E84B5" w14:textId="77777777" w:rsidR="00C56BBF" w:rsidRPr="00827773" w:rsidRDefault="00C56BBF" w:rsidP="00591704">
            <w:pPr>
              <w:pStyle w:val="BodyText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 xml:space="preserve">Performance Evaluation of </w:t>
            </w:r>
            <w:r w:rsidR="00591704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Suppliers</w:t>
            </w:r>
          </w:p>
          <w:p w14:paraId="31A5E2F4" w14:textId="77777777" w:rsidR="00C56BBF" w:rsidRPr="00827773" w:rsidRDefault="00C56BBF" w:rsidP="00C56BBF">
            <w:pPr>
              <w:pStyle w:val="BodyText"/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</w:p>
          <w:p w14:paraId="44008441" w14:textId="77777777" w:rsidR="00C56BBF" w:rsidRPr="00827773" w:rsidRDefault="00C56BBF" w:rsidP="00C56BBF">
            <w:pPr>
              <w:pStyle w:val="BodyText"/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</w:p>
          <w:p w14:paraId="62DE94BE" w14:textId="77777777" w:rsidR="00C56BBF" w:rsidRPr="00827773" w:rsidRDefault="00C56BBF" w:rsidP="00C56BBF">
            <w:pPr>
              <w:pStyle w:val="BodyText"/>
              <w:numPr>
                <w:ilvl w:val="0"/>
                <w:numId w:val="15"/>
              </w:numPr>
              <w:spacing w:before="12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u w:val="single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b/>
                <w:bCs/>
                <w:sz w:val="20"/>
                <w:u w:val="single"/>
                <w:lang w:val="en-US" w:eastAsia="en-US"/>
              </w:rPr>
              <w:t xml:space="preserve"> Planning</w:t>
            </w:r>
          </w:p>
          <w:p w14:paraId="0FFD22C8" w14:textId="77777777" w:rsidR="00591704" w:rsidRDefault="00C56BBF" w:rsidP="00591704">
            <w:pPr>
              <w:pStyle w:val="BodyText"/>
              <w:spacing w:before="120" w:after="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>The</w:t>
            </w:r>
            <w:r>
              <w:rPr>
                <w:rFonts w:ascii="Arial" w:hAnsi="Arial" w:cs="Arial"/>
                <w:sz w:val="20"/>
                <w:lang w:val="en-US" w:eastAsia="en-US"/>
              </w:rPr>
              <w:t>re is no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annual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plan </w:t>
            </w:r>
            <w:r>
              <w:rPr>
                <w:rFonts w:ascii="Arial" w:hAnsi="Arial" w:cs="Arial"/>
                <w:sz w:val="20"/>
                <w:lang w:val="en-US" w:eastAsia="en-US"/>
              </w:rPr>
              <w:t>developed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by the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 xml:space="preserve">purchasing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.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</w:p>
          <w:p w14:paraId="7D2BF964" w14:textId="77777777" w:rsidR="00C56BBF" w:rsidRDefault="00C56BBF" w:rsidP="00591704">
            <w:pPr>
              <w:pStyle w:val="BodyText"/>
              <w:spacing w:before="120" w:after="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Currently, the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process is being undertaken on an ad-hoc basis. Thus, on receipt of the purchase requests.</w:t>
            </w:r>
          </w:p>
          <w:p w14:paraId="1B0B6E03" w14:textId="77777777" w:rsidR="00C56BBF" w:rsidRDefault="00C56BBF" w:rsidP="00C56BBF">
            <w:pPr>
              <w:pStyle w:val="BodyText"/>
              <w:spacing w:before="120" w:after="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20882629" w14:textId="77777777" w:rsidR="00C56BBF" w:rsidRDefault="00C56BBF" w:rsidP="00C56BBF">
            <w:pPr>
              <w:pStyle w:val="BodyText"/>
              <w:spacing w:before="120" w:after="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222CA7CC" w14:textId="77777777" w:rsidR="00C56BBF" w:rsidRDefault="00C56BBF" w:rsidP="00C56BBF">
            <w:pPr>
              <w:pStyle w:val="BodyText"/>
              <w:spacing w:before="120" w:after="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262DF9BA" w14:textId="77777777" w:rsidR="00C56BBF" w:rsidRPr="00827773" w:rsidRDefault="00C56BBF" w:rsidP="00C56BBF">
            <w:pPr>
              <w:pStyle w:val="BodyText"/>
              <w:spacing w:before="120" w:after="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4CD22C63" w14:textId="77777777" w:rsidR="00C56BBF" w:rsidRPr="008A1A7E" w:rsidRDefault="00591704" w:rsidP="00C56BBF">
            <w:pPr>
              <w:pStyle w:val="BodyText"/>
              <w:numPr>
                <w:ilvl w:val="0"/>
                <w:numId w:val="15"/>
              </w:numPr>
              <w:spacing w:before="360" w:after="60" w:line="240" w:lineRule="auto"/>
              <w:ind w:left="714" w:hanging="357"/>
              <w:jc w:val="both"/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  <w:lastRenderedPageBreak/>
              <w:t>Suppliers</w:t>
            </w:r>
            <w:r w:rsidR="00C56BBF" w:rsidRPr="008A1A7E"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  <w:t xml:space="preserve"> Management</w:t>
            </w:r>
          </w:p>
          <w:p w14:paraId="35FDA74F" w14:textId="77777777" w:rsidR="00C56BBF" w:rsidRPr="00827773" w:rsidRDefault="00C56BBF" w:rsidP="00591704">
            <w:pPr>
              <w:pStyle w:val="BodyText"/>
              <w:numPr>
                <w:ilvl w:val="1"/>
                <w:numId w:val="16"/>
              </w:numPr>
              <w:spacing w:before="120" w:after="60" w:line="240" w:lineRule="auto"/>
              <w:jc w:val="both"/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</w:pPr>
            <w:r w:rsidRPr="00827773"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  <w:t xml:space="preserve">Creation of </w:t>
            </w:r>
            <w:r w:rsidR="00591704"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  <w:t xml:space="preserve"> Master File:</w:t>
            </w:r>
          </w:p>
          <w:p w14:paraId="5F085744" w14:textId="0B8EAD15" w:rsidR="00C56BBF" w:rsidRPr="00827773" w:rsidRDefault="00C56BBF" w:rsidP="00591704">
            <w:pPr>
              <w:pStyle w:val="BodyText"/>
              <w:spacing w:before="120" w:after="60" w:line="240" w:lineRule="auto"/>
              <w:ind w:left="108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New vendors are identified by the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using different sources such </w:t>
            </w:r>
            <w:proofErr w:type="gramStart"/>
            <w:r w:rsidRPr="00827773">
              <w:rPr>
                <w:rFonts w:ascii="Arial" w:hAnsi="Arial" w:cs="Arial"/>
                <w:sz w:val="20"/>
                <w:lang w:val="en-US" w:eastAsia="en-US"/>
              </w:rPr>
              <w:t>as;</w:t>
            </w:r>
            <w:proofErr w:type="gramEnd"/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recommendation by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newly found in the market, new approaching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approaching the </w:t>
            </w:r>
            <w:r w:rsidR="008B5205" w:rsidRPr="008B5205">
              <w:rPr>
                <w:rFonts w:ascii="Arial" w:hAnsi="Arial" w:cs="Arial"/>
                <w:color w:val="548DD4" w:themeColor="text2" w:themeTint="99"/>
                <w:sz w:val="20"/>
                <w:lang w:val="en-US" w:eastAsia="en-US"/>
              </w:rPr>
              <w:t>SHAMS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and through purchasing process.</w:t>
            </w:r>
          </w:p>
          <w:p w14:paraId="5E08B62D" w14:textId="5D96DB43" w:rsidR="00C56BBF" w:rsidRPr="00827773" w:rsidRDefault="00C56BBF" w:rsidP="00591704">
            <w:pPr>
              <w:pStyle w:val="BodyText"/>
              <w:spacing w:before="120" w:after="60" w:line="240" w:lineRule="auto"/>
              <w:ind w:left="108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proofErr w:type="gramStart"/>
            <w:r w:rsidRPr="00827773">
              <w:rPr>
                <w:rFonts w:ascii="Arial" w:hAnsi="Arial" w:cs="Arial"/>
                <w:sz w:val="20"/>
                <w:lang w:val="en-US" w:eastAsia="en-US"/>
              </w:rPr>
              <w:t>In order to</w:t>
            </w:r>
            <w:proofErr w:type="gramEnd"/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create new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supplier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file in the </w:t>
            </w:r>
            <w:proofErr w:type="spellStart"/>
            <w:r w:rsidR="008B5205" w:rsidRPr="008B5205">
              <w:rPr>
                <w:rFonts w:ascii="Arial" w:hAnsi="Arial" w:cs="Arial"/>
                <w:color w:val="548DD4" w:themeColor="text2" w:themeTint="99"/>
                <w:sz w:val="20"/>
                <w:lang w:val="en-US" w:eastAsia="en-US"/>
              </w:rPr>
              <w:t>Zoho</w:t>
            </w:r>
            <w:proofErr w:type="spellEnd"/>
            <w:r w:rsidRPr="008B5205">
              <w:rPr>
                <w:rFonts w:ascii="Arial" w:hAnsi="Arial" w:cs="Arial"/>
                <w:color w:val="548DD4" w:themeColor="text2" w:themeTint="99"/>
                <w:sz w:val="20"/>
                <w:lang w:val="en-US" w:eastAsia="en-US"/>
              </w:rPr>
              <w:t xml:space="preserve"> System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a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supplier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registration form is filled by the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supplier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and submitted to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for approval. The form shall be attached with the trade license, company profile etc.</w:t>
            </w:r>
          </w:p>
          <w:p w14:paraId="0F41BA76" w14:textId="77777777" w:rsidR="00C56BBF" w:rsidRPr="00827773" w:rsidRDefault="00C56BBF" w:rsidP="00591704">
            <w:pPr>
              <w:pStyle w:val="BodyText"/>
              <w:spacing w:before="120" w:after="60" w:line="240" w:lineRule="auto"/>
              <w:ind w:left="108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On receipt of the approved form from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the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team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crea</w:t>
            </w:r>
            <w:r>
              <w:rPr>
                <w:rFonts w:ascii="Arial" w:hAnsi="Arial" w:cs="Arial"/>
                <w:sz w:val="20"/>
                <w:lang w:val="en-US" w:eastAsia="en-US"/>
              </w:rPr>
              <w:t>tes the code in the new system.</w:t>
            </w:r>
          </w:p>
          <w:p w14:paraId="679AF9BC" w14:textId="77777777" w:rsidR="00C56BBF" w:rsidRPr="00827773" w:rsidRDefault="00C56BBF" w:rsidP="00591704">
            <w:pPr>
              <w:pStyle w:val="BodyText"/>
              <w:numPr>
                <w:ilvl w:val="1"/>
                <w:numId w:val="16"/>
              </w:numPr>
              <w:spacing w:before="360" w:after="60" w:line="240" w:lineRule="auto"/>
              <w:ind w:left="1077" w:hanging="357"/>
              <w:jc w:val="both"/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</w:pPr>
            <w:r w:rsidRPr="00827773"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  <w:t xml:space="preserve">Update of </w:t>
            </w:r>
            <w:r w:rsidR="00591704"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  <w:t>supplier</w:t>
            </w:r>
            <w:r w:rsidRPr="00827773">
              <w:rPr>
                <w:rFonts w:ascii="Arial" w:hAnsi="Arial" w:cs="Arial"/>
                <w:i/>
                <w:iCs/>
                <w:sz w:val="20"/>
                <w:u w:val="single"/>
                <w:lang w:val="en-US" w:eastAsia="en-US"/>
              </w:rPr>
              <w:t xml:space="preserve"> Master File:</w:t>
            </w:r>
          </w:p>
          <w:p w14:paraId="3F6B9C54" w14:textId="77777777" w:rsidR="00C56BBF" w:rsidRPr="00827773" w:rsidRDefault="00C56BBF" w:rsidP="00591704">
            <w:pPr>
              <w:pStyle w:val="BodyText"/>
              <w:spacing w:before="120" w:after="60" w:line="240" w:lineRule="auto"/>
              <w:ind w:left="1077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The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supplier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master files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not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updated on an ad-hoc basis.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 xml:space="preserve"> And not clean. </w:t>
            </w:r>
          </w:p>
          <w:p w14:paraId="1E592619" w14:textId="77777777" w:rsidR="00C56BBF" w:rsidRPr="008A1A7E" w:rsidRDefault="00C56BBF" w:rsidP="00C56BBF">
            <w:pPr>
              <w:pStyle w:val="BodyText"/>
              <w:numPr>
                <w:ilvl w:val="0"/>
                <w:numId w:val="15"/>
              </w:numPr>
              <w:spacing w:before="360" w:after="60" w:line="240" w:lineRule="auto"/>
              <w:ind w:left="714" w:hanging="357"/>
              <w:jc w:val="both"/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  <w:t>Purchasing Process</w:t>
            </w:r>
          </w:p>
          <w:p w14:paraId="5D174FEB" w14:textId="77777777" w:rsidR="00C56BBF" w:rsidRPr="00591704" w:rsidRDefault="00C56BBF" w:rsidP="00591704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Purchase transactions are initiated on the basis of approved </w:t>
            </w:r>
            <w:r>
              <w:rPr>
                <w:rFonts w:ascii="Arial" w:hAnsi="Arial" w:cs="Arial"/>
                <w:sz w:val="20"/>
                <w:lang w:val="en-US" w:eastAsia="en-US"/>
              </w:rPr>
              <w:t>Purchase Request “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PR</w:t>
            </w:r>
            <w:r>
              <w:rPr>
                <w:rFonts w:ascii="Arial" w:hAnsi="Arial" w:cs="Arial"/>
                <w:sz w:val="20"/>
                <w:lang w:val="en-US" w:eastAsia="en-US"/>
              </w:rPr>
              <w:t>”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received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manually by the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 xml:space="preserve"> The PR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are either received from user sections or stores. However</w:t>
            </w:r>
            <w:r w:rsidRPr="00591704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; prior to sending the PR to </w:t>
            </w:r>
            <w:r w:rsidR="00591704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Purchasing</w:t>
            </w:r>
            <w:r w:rsidRPr="00591704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Section, the PR are routed through the finance function for budget review / check purpose.</w:t>
            </w:r>
          </w:p>
          <w:p w14:paraId="6261C51C" w14:textId="77777777" w:rsidR="00C56BBF" w:rsidRDefault="00C56BBF" w:rsidP="007C4F92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All approved </w:t>
            </w:r>
            <w:r>
              <w:rPr>
                <w:rFonts w:ascii="Arial" w:hAnsi="Arial" w:cs="Arial"/>
                <w:sz w:val="20"/>
                <w:lang w:val="en-US" w:eastAsia="en-US"/>
              </w:rPr>
              <w:t>P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are sent to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who in turn, assigns PR to </w:t>
            </w:r>
            <w:r w:rsidR="0059170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for processing.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</w:p>
          <w:p w14:paraId="5BD39BBC" w14:textId="77777777" w:rsidR="00C56BBF" w:rsidRPr="00827773" w:rsidRDefault="00C56BBF" w:rsidP="007C4F92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The </w:t>
            </w:r>
            <w:r w:rsidR="007C4F92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 then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review the PR for validity and completeness of supporting data attached with each PR.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</w:p>
          <w:p w14:paraId="600A6FF5" w14:textId="77777777" w:rsidR="00C56BBF" w:rsidRPr="00827773" w:rsidRDefault="007C4F92" w:rsidP="007C4F92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prepare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 xml:space="preserve">a 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list of potential </w:t>
            </w:r>
            <w:r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in coordination with the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. Basis for selecting potential </w:t>
            </w:r>
            <w:r>
              <w:rPr>
                <w:rFonts w:ascii="Arial" w:hAnsi="Arial" w:cs="Arial"/>
                <w:sz w:val="20"/>
                <w:lang w:val="en-US" w:eastAsia="en-US"/>
              </w:rPr>
              <w:t>suppliers from approved list.</w:t>
            </w:r>
          </w:p>
          <w:p w14:paraId="0B760317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The </w:t>
            </w:r>
            <w:r w:rsidR="007C4F92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 then prepare RFQ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following the terms and conditions stated in the approved PR. All RFQ are prepared in coordination with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49615136" w14:textId="77777777" w:rsidR="00C56BBF" w:rsidRPr="00827773" w:rsidRDefault="00C56BBF" w:rsidP="007C4F92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After that, RFQ is floated to potential </w:t>
            </w:r>
            <w:r w:rsidR="007C4F92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as prepared earlier in the potential </w:t>
            </w:r>
            <w:r w:rsidR="007C4F92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list. The RFQ is sent to potential </w:t>
            </w:r>
            <w:r w:rsidR="007C4F92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by email. </w:t>
            </w:r>
          </w:p>
          <w:p w14:paraId="357565E0" w14:textId="77777777" w:rsidR="00C56BBF" w:rsidRPr="00827773" w:rsidRDefault="00C56BBF" w:rsidP="00411FC5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Clarification / queries raised by </w:t>
            </w:r>
            <w:r w:rsidR="00411FC5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are managed by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Procurement Officer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/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Quotations are received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via </w:t>
            </w:r>
            <w:r w:rsidR="007C4F92" w:rsidRPr="00827773">
              <w:rPr>
                <w:rFonts w:ascii="Arial" w:hAnsi="Arial" w:cs="Arial"/>
                <w:sz w:val="20"/>
                <w:lang w:val="en-US" w:eastAsia="en-US"/>
              </w:rPr>
              <w:t>email</w:t>
            </w:r>
            <w:r w:rsidR="007C4F92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73D2135F" w14:textId="77777777" w:rsidR="00C56BBF" w:rsidRPr="00827773" w:rsidRDefault="00C56BBF" w:rsidP="00411FC5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On receipt of quotations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comparison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sheet of is prepared by the </w:t>
            </w:r>
            <w:r w:rsidR="00411FC5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in coordination with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The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comparison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sheet of quotation</w:t>
            </w:r>
            <w:r>
              <w:rPr>
                <w:rFonts w:ascii="Arial" w:hAnsi="Arial" w:cs="Arial"/>
                <w:sz w:val="20"/>
                <w:lang w:val="en-US" w:eastAsia="en-US"/>
              </w:rPr>
              <w:t>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include</w:t>
            </w:r>
            <w:r>
              <w:rPr>
                <w:rFonts w:ascii="Arial" w:hAnsi="Arial" w:cs="Arial"/>
                <w:sz w:val="20"/>
                <w:lang w:val="en-US" w:eastAsia="en-US"/>
              </w:rPr>
              <w:t>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the technical / financial aspects incorporated in each quotation. All summary sheets are approved by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5D3E0AE9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lastRenderedPageBreak/>
              <w:t>Comparison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sheet of quotations is then forwarded to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fo</w:t>
            </w:r>
            <w:r>
              <w:rPr>
                <w:rFonts w:ascii="Arial" w:hAnsi="Arial" w:cs="Arial"/>
                <w:sz w:val="20"/>
                <w:lang w:val="en-US" w:eastAsia="en-US"/>
              </w:rPr>
              <w:t>r recommendation and selection (only technical quotations / bids).</w:t>
            </w:r>
          </w:p>
          <w:p w14:paraId="30357FF6" w14:textId="77777777" w:rsidR="00C56BBF" w:rsidRDefault="00445B47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All the support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 xml:space="preserve">documents is routed through the management for review and approval. </w:t>
            </w:r>
          </w:p>
          <w:p w14:paraId="0F7AC8C0" w14:textId="77777777" w:rsidR="00C56BBF" w:rsidRPr="00827773" w:rsidRDefault="00445B47" w:rsidP="00445B47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proceeds with issuing PO / LPO to the selected </w:t>
            </w:r>
            <w:r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 xml:space="preserve"> as per the </w:t>
            </w:r>
            <w:proofErr w:type="spellStart"/>
            <w:r w:rsidR="00C56BBF">
              <w:rPr>
                <w:rFonts w:ascii="Arial" w:hAnsi="Arial" w:cs="Arial"/>
                <w:sz w:val="20"/>
                <w:lang w:val="en-US" w:eastAsia="en-US"/>
              </w:rPr>
              <w:t>DoA</w:t>
            </w:r>
            <w:proofErr w:type="spellEnd"/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7474330E" w14:textId="1D1A86CF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The PO / LPO is initiated in the </w:t>
            </w:r>
            <w:proofErr w:type="spellStart"/>
            <w:r w:rsidR="008B5205" w:rsidRPr="008B5205">
              <w:rPr>
                <w:rFonts w:ascii="Arial" w:hAnsi="Arial" w:cs="Arial"/>
                <w:color w:val="548DD4" w:themeColor="text2" w:themeTint="99"/>
                <w:sz w:val="20"/>
                <w:lang w:val="en-US" w:eastAsia="en-US"/>
              </w:rPr>
              <w:t>Zoho</w:t>
            </w:r>
            <w:proofErr w:type="spellEnd"/>
            <w:r w:rsidRPr="008B5205">
              <w:rPr>
                <w:rFonts w:ascii="Arial" w:hAnsi="Arial" w:cs="Arial"/>
                <w:color w:val="548DD4" w:themeColor="text2" w:themeTint="99"/>
                <w:sz w:val="20"/>
                <w:lang w:val="en-US" w:eastAsia="en-US"/>
              </w:rPr>
              <w:t xml:space="preserve"> System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and put as “in process” stage. A copy of the draft PO / LPO is printed and sent to management for approval as per the </w:t>
            </w:r>
            <w:proofErr w:type="spellStart"/>
            <w:r w:rsidRPr="00827773">
              <w:rPr>
                <w:rFonts w:ascii="Arial" w:hAnsi="Arial" w:cs="Arial"/>
                <w:sz w:val="20"/>
                <w:lang w:val="en-US" w:eastAsia="en-US"/>
              </w:rPr>
              <w:t>DoA</w:t>
            </w:r>
            <w:proofErr w:type="spellEnd"/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28D7A0F7" w14:textId="77777777" w:rsidR="00C56BBF" w:rsidRPr="00827773" w:rsidRDefault="00C56BBF" w:rsidP="00445B47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The approved PO / LPO are then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forwarded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to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the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selected </w:t>
            </w:r>
            <w:r w:rsidR="00445B47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by email. An acknowledgement shall be obtained from the </w:t>
            </w:r>
            <w:r w:rsidR="00445B47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7346E763" w14:textId="0D545543" w:rsidR="00C56BBF" w:rsidRPr="00D976F3" w:rsidRDefault="00C56BBF" w:rsidP="00D976F3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</w:pPr>
            <w:r w:rsidRPr="00D976F3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On receipt of the goods / services by the </w:t>
            </w:r>
            <w:r w:rsidR="00D976F3" w:rsidRPr="00D976F3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receiving Point,</w:t>
            </w:r>
            <w:r w:rsidRPr="00D976F3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Delivery Note shall be signed by</w:t>
            </w:r>
            <w:r w:rsidR="00D976F3" w:rsidRPr="00D976F3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receiving Point </w:t>
            </w:r>
            <w:r w:rsidRPr="00D976F3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and forwarded to Finance function for payment processing</w:t>
            </w:r>
            <w:r w:rsidR="0045009C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with green </w:t>
            </w:r>
            <w:r w:rsidR="00C66371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stamp,</w:t>
            </w:r>
            <w:r w:rsidR="0045009C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if any reject goods/ services forwarded to purchasing section with red stamp.</w:t>
            </w:r>
            <w:r w:rsidR="00940B6C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(The receiving point start </w:t>
            </w:r>
            <w:proofErr w:type="gramStart"/>
            <w:r w:rsidR="00940B6C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on</w:t>
            </w:r>
            <w:proofErr w:type="gramEnd"/>
            <w:r w:rsidR="00940B6C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July 20</w:t>
            </w:r>
            <w:r w:rsidR="008B5205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22</w:t>
            </w:r>
            <w:r w:rsidR="00940B6C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).</w:t>
            </w:r>
          </w:p>
          <w:p w14:paraId="4A49FF05" w14:textId="77777777" w:rsidR="00C56BBF" w:rsidRPr="008A1A7E" w:rsidRDefault="00C56BBF" w:rsidP="00C56BBF">
            <w:pPr>
              <w:pStyle w:val="BodyText"/>
              <w:spacing w:before="360" w:after="60" w:line="240" w:lineRule="auto"/>
              <w:ind w:left="720"/>
              <w:jc w:val="both"/>
              <w:rPr>
                <w:rFonts w:ascii="Arial" w:hAnsi="Arial" w:cs="Arial"/>
                <w:b/>
                <w:bCs/>
                <w:i/>
                <w:iCs/>
                <w:color w:val="002060"/>
                <w:sz w:val="20"/>
                <w:u w:val="single"/>
                <w:lang w:val="en-US" w:eastAsia="en-US"/>
              </w:rPr>
            </w:pPr>
            <w:r w:rsidRPr="008A1A7E">
              <w:rPr>
                <w:rFonts w:ascii="Arial" w:hAnsi="Arial" w:cs="Arial"/>
                <w:b/>
                <w:bCs/>
                <w:i/>
                <w:iCs/>
                <w:color w:val="002060"/>
                <w:sz w:val="20"/>
                <w:u w:val="single"/>
                <w:lang w:val="en-US" w:eastAsia="en-US"/>
              </w:rPr>
              <w:t>Petty Cash Purchases – up to AED 1,000</w:t>
            </w:r>
          </w:p>
          <w:p w14:paraId="13C9432E" w14:textId="77777777" w:rsidR="00C56BBF" w:rsidRPr="00827773" w:rsidRDefault="00C56BBF" w:rsidP="00DA342A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This method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of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purchasing may be used by the </w:t>
            </w:r>
            <w:r w:rsidR="00DA342A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in case of urgent, low value and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infrequent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purchases.</w:t>
            </w:r>
          </w:p>
          <w:p w14:paraId="2B22F675" w14:textId="77777777" w:rsidR="00C56BBF" w:rsidRPr="00827773" w:rsidRDefault="00C56BBF" w:rsidP="00DA342A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Petty cash purchase starts from the point of receiving petty cash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request form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from the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Forms are usually received by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who in turns forwards them to </w:t>
            </w:r>
            <w:r w:rsidR="00DA342A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Officer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for processing.</w:t>
            </w:r>
          </w:p>
          <w:p w14:paraId="7755A990" w14:textId="77777777" w:rsidR="00C56BBF" w:rsidRPr="00827773" w:rsidRDefault="00DA342A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>Officer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reviews the form for accuracy, validity and completeness of supporting documents and process the form.</w:t>
            </w:r>
          </w:p>
          <w:p w14:paraId="2C56E8F5" w14:textId="77777777" w:rsidR="00C56BBF" w:rsidRPr="008A1A7E" w:rsidRDefault="00C56BBF" w:rsidP="00C56BBF">
            <w:pPr>
              <w:pStyle w:val="BodyText"/>
              <w:numPr>
                <w:ilvl w:val="0"/>
                <w:numId w:val="15"/>
              </w:numPr>
              <w:spacing w:before="360" w:after="60" w:line="240" w:lineRule="auto"/>
              <w:ind w:left="714" w:hanging="357"/>
              <w:jc w:val="both"/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  <w:t>Tendering Process</w:t>
            </w:r>
          </w:p>
          <w:p w14:paraId="1D33CB5C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Tendering process is initiated on the basis of approved PR received </w:t>
            </w:r>
            <w:r>
              <w:rPr>
                <w:rFonts w:ascii="Arial" w:hAnsi="Arial" w:cs="Arial"/>
                <w:sz w:val="20"/>
                <w:lang w:val="en-US" w:eastAsia="en-US"/>
              </w:rPr>
              <w:t>manually.</w:t>
            </w:r>
          </w:p>
          <w:p w14:paraId="670D3F6B" w14:textId="77777777" w:rsidR="00C56BBF" w:rsidRPr="00827773" w:rsidRDefault="00C56BBF" w:rsidP="0053151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All approved </w:t>
            </w:r>
            <w:r>
              <w:rPr>
                <w:rFonts w:ascii="Arial" w:hAnsi="Arial" w:cs="Arial"/>
                <w:sz w:val="20"/>
                <w:lang w:val="en-US" w:eastAsia="en-US"/>
              </w:rPr>
              <w:t>P</w:t>
            </w:r>
            <w:r w:rsidR="004A7B20">
              <w:rPr>
                <w:rFonts w:ascii="Arial" w:hAnsi="Arial" w:cs="Arial"/>
                <w:sz w:val="20"/>
                <w:lang w:val="en-US" w:eastAsia="en-US"/>
              </w:rPr>
              <w:t>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are sent to</w:t>
            </w:r>
            <w:r w:rsidR="004A7B20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="00572A96">
              <w:rPr>
                <w:rFonts w:ascii="Arial" w:hAnsi="Arial" w:cs="Arial"/>
                <w:sz w:val="20"/>
                <w:lang w:val="en-US" w:eastAsia="en-US"/>
              </w:rPr>
              <w:t>P</w:t>
            </w:r>
            <w:r w:rsidR="004A7B20">
              <w:rPr>
                <w:rFonts w:ascii="Arial" w:hAnsi="Arial" w:cs="Arial"/>
                <w:sz w:val="20"/>
                <w:lang w:val="en-US" w:eastAsia="en-US"/>
              </w:rPr>
              <w:t>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who in turn, assigns PR to </w:t>
            </w:r>
            <w:r w:rsidR="004E2B78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for processing. PR are assigned to </w:t>
            </w:r>
            <w:r w:rsidR="004E2B78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based on their expertise in different field as </w:t>
            </w:r>
            <w:r>
              <w:rPr>
                <w:rFonts w:ascii="Arial" w:hAnsi="Arial" w:cs="Arial"/>
                <w:sz w:val="20"/>
                <w:lang w:val="en-US" w:eastAsia="en-US"/>
              </w:rPr>
              <w:t>determined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by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</w:t>
            </w:r>
          </w:p>
          <w:p w14:paraId="0246D227" w14:textId="77777777" w:rsidR="00C56BBF" w:rsidRPr="00827773" w:rsidRDefault="004E2B78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 xml:space="preserve">then 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>review the PR for validity and completeness of supporting data attached with each PR.</w:t>
            </w:r>
          </w:p>
          <w:p w14:paraId="71F8D351" w14:textId="77777777" w:rsidR="00C56BBF" w:rsidRPr="00827773" w:rsidRDefault="004E2B78" w:rsidP="0053151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Purchasing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>Officer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prepare tender documents in coordination with </w:t>
            </w:r>
            <w:r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 and User </w:t>
            </w:r>
            <w:r w:rsidR="00C56BBF"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="00C56BBF" w:rsidRPr="00827773">
              <w:rPr>
                <w:rFonts w:ascii="Arial" w:hAnsi="Arial" w:cs="Arial"/>
                <w:sz w:val="20"/>
                <w:lang w:val="en-US" w:eastAsia="en-US"/>
              </w:rPr>
              <w:t xml:space="preserve">. </w:t>
            </w:r>
          </w:p>
          <w:p w14:paraId="71CFD09F" w14:textId="77777777" w:rsidR="00C56BBF" w:rsidRDefault="00C56BBF" w:rsidP="00290717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List of potential vendors is prepared by </w:t>
            </w:r>
            <w:r w:rsidR="004E2B78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in coordination with the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Section Head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and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Potential vendors selected </w:t>
            </w:r>
            <w:r w:rsidR="00290717">
              <w:rPr>
                <w:rFonts w:ascii="Arial" w:hAnsi="Arial" w:cs="Arial"/>
                <w:sz w:val="20"/>
                <w:lang w:val="en-US" w:eastAsia="en-US"/>
              </w:rPr>
              <w:t xml:space="preserve">from approved </w:t>
            </w:r>
            <w:r w:rsidR="00EB728A">
              <w:rPr>
                <w:rFonts w:ascii="Arial" w:hAnsi="Arial" w:cs="Arial"/>
                <w:sz w:val="20"/>
                <w:lang w:val="en-US" w:eastAsia="en-US"/>
              </w:rPr>
              <w:t>list.</w:t>
            </w:r>
          </w:p>
          <w:p w14:paraId="4C8360D1" w14:textId="77777777" w:rsidR="00B46611" w:rsidRDefault="00B46611" w:rsidP="00290717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3A89E545" w14:textId="77777777" w:rsidR="00C56BBF" w:rsidRPr="00827773" w:rsidRDefault="00C56BBF" w:rsidP="00290717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7D4E9F">
              <w:rPr>
                <w:rFonts w:ascii="Arial" w:hAnsi="Arial" w:cs="Arial"/>
                <w:sz w:val="20"/>
                <w:lang w:val="en-US" w:eastAsia="en-US"/>
              </w:rPr>
              <w:t xml:space="preserve">The RFP is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then floated to the vendors as per the approved </w:t>
            </w:r>
            <w:r w:rsidRPr="007D4E9F">
              <w:rPr>
                <w:rFonts w:ascii="Arial" w:hAnsi="Arial" w:cs="Arial"/>
                <w:sz w:val="20"/>
                <w:lang w:val="en-US" w:eastAsia="en-US"/>
              </w:rPr>
              <w:t xml:space="preserve">list. RFP is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sent to potential </w:t>
            </w:r>
            <w:r w:rsidR="00290717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by email. </w:t>
            </w:r>
          </w:p>
          <w:p w14:paraId="572D68CC" w14:textId="77777777" w:rsidR="007D4E9F" w:rsidRDefault="00C56BBF" w:rsidP="007D4E9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lastRenderedPageBreak/>
              <w:t xml:space="preserve">Proposals / sealed envelopes are received from </w:t>
            </w:r>
            <w:r w:rsidR="00290717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by hand delivery. All sealed envelopes / proposals are deposited in the designated tender box for this purpose. Keys of tender box are available with </w:t>
            </w:r>
            <w:r>
              <w:rPr>
                <w:rFonts w:ascii="Arial" w:hAnsi="Arial" w:cs="Arial"/>
                <w:sz w:val="20"/>
                <w:lang w:val="en-US" w:eastAsia="en-US"/>
              </w:rPr>
              <w:t>Bids Opening Committee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Technical / commercial bids are submitted in separate envelops by </w:t>
            </w:r>
            <w:r w:rsidR="00290717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</w:t>
            </w:r>
          </w:p>
          <w:p w14:paraId="041A470F" w14:textId="77777777" w:rsidR="00C56BBF" w:rsidRPr="00827773" w:rsidRDefault="00C56BBF" w:rsidP="007D4E9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On receipt of </w:t>
            </w:r>
            <w:r w:rsidRPr="007D4E9F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all RFP, Bids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Opening Committee shall meet in order to open the received bids. Tender Opening Form is then prepared and signed by members. Such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a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form includes the details of the received bids such as; name of </w:t>
            </w:r>
            <w:r w:rsidR="004E2B78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, no of received envelops, rates provided by each bidder, etc.</w:t>
            </w:r>
          </w:p>
          <w:p w14:paraId="7F24C1F8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Post preparation of Tender Opening Form, a file is maintained by the </w:t>
            </w:r>
            <w:r w:rsidR="004E2B78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Officer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containing the related documents for the tender. The file contains various documents such as; tender documents, Tender Opening Form, summary of bids received etc.</w:t>
            </w:r>
          </w:p>
          <w:p w14:paraId="403237C9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The file is then sent to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for recommendation and selection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(only technical proposals)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The file also includes a form for technical evaluation to be carried out by the Technical Committee /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6192FB0D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On receipt of final recommendation from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the final recommendation / selection sheet is then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approved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as per DOA.</w:t>
            </w:r>
          </w:p>
          <w:p w14:paraId="5EB6042D" w14:textId="77777777" w:rsidR="00C56BBF" w:rsidRPr="00B46611" w:rsidRDefault="00C56BBF" w:rsidP="00B46611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</w:pPr>
            <w:r w:rsidRPr="00B46611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Awarding letter is prepared and sent to the winning bidder. Awarding letters shall be approved by </w:t>
            </w:r>
            <w:r w:rsidR="007F6424" w:rsidRPr="00B46611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Purchasing</w:t>
            </w:r>
            <w:r w:rsidRPr="00B46611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Section Head. </w:t>
            </w:r>
          </w:p>
          <w:p w14:paraId="07CB261E" w14:textId="77777777" w:rsidR="00C56BBF" w:rsidRPr="008A1A7E" w:rsidRDefault="00C56BBF" w:rsidP="00C56BBF">
            <w:pPr>
              <w:pStyle w:val="BodyText"/>
              <w:numPr>
                <w:ilvl w:val="0"/>
                <w:numId w:val="15"/>
              </w:numPr>
              <w:spacing w:before="360" w:after="60" w:line="240" w:lineRule="auto"/>
              <w:ind w:left="714" w:hanging="357"/>
              <w:jc w:val="both"/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  <w:t>Contracts Administration</w:t>
            </w:r>
          </w:p>
          <w:p w14:paraId="1781F25E" w14:textId="77777777" w:rsidR="00C56BBF" w:rsidRPr="00062FA0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</w:pPr>
            <w:r w:rsidRPr="00062FA0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>After issuing the award letter, winning bidders are required to provide performance bond. Bid bonds are returned to winning bidder on receipt of performance bond / guarantee check.</w:t>
            </w:r>
            <w:r w:rsidR="00062FA0" w:rsidRPr="00062FA0">
              <w:rPr>
                <w:rFonts w:ascii="Arial" w:hAnsi="Arial" w:cs="Arial"/>
                <w:color w:val="000000" w:themeColor="text1"/>
                <w:sz w:val="20"/>
                <w:lang w:val="en-US" w:eastAsia="en-US"/>
              </w:rPr>
              <w:t xml:space="preserve">  </w:t>
            </w:r>
          </w:p>
          <w:p w14:paraId="6F3BACBA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A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contract template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is being used and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followed by </w:t>
            </w:r>
            <w:r w:rsidR="007F642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 Such a template includes the necessary admin / legal clauses.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</w:p>
          <w:p w14:paraId="5F5E5EB1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A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draft contract is prepared by the </w:t>
            </w:r>
            <w:r w:rsidR="007F642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Section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following the technical / commercial terms and conditions as incorporated in the RFP. Draft copy is also discussed and reviewed by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 Head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4263A7B5" w14:textId="1532DEF9" w:rsidR="00C56BBF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After that, the draft copy of contract is sent to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legal function of </w:t>
            </w:r>
            <w:r w:rsidR="008B5205" w:rsidRPr="008B5205">
              <w:rPr>
                <w:rFonts w:ascii="Arial" w:hAnsi="Arial" w:cs="Arial"/>
                <w:color w:val="548DD4" w:themeColor="text2" w:themeTint="99"/>
                <w:sz w:val="20"/>
                <w:lang w:val="en-US" w:eastAsia="en-US"/>
              </w:rPr>
              <w:t>SHAMS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 for review and approval. </w:t>
            </w:r>
          </w:p>
          <w:p w14:paraId="0425AAD1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On receipt of the final draft version of contract from </w:t>
            </w:r>
            <w:r>
              <w:rPr>
                <w:rFonts w:ascii="Arial" w:hAnsi="Arial" w:cs="Arial"/>
                <w:sz w:val="20"/>
                <w:lang w:val="en-US" w:eastAsia="en-US"/>
              </w:rPr>
              <w:t>legal function of ADMC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dual copy of contract is made and forwarded to the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winning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bidder for signature. </w:t>
            </w:r>
          </w:p>
          <w:p w14:paraId="3416C228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After receiving the signed copies from the </w:t>
            </w:r>
            <w:r>
              <w:rPr>
                <w:rFonts w:ascii="Arial" w:hAnsi="Arial" w:cs="Arial"/>
                <w:sz w:val="20"/>
                <w:lang w:val="en-US" w:eastAsia="en-US"/>
              </w:rPr>
              <w:t>winning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bidder, both the copies of signed contract are sent for approval as per </w:t>
            </w:r>
            <w:proofErr w:type="spellStart"/>
            <w:r w:rsidRPr="00827773">
              <w:rPr>
                <w:rFonts w:ascii="Arial" w:hAnsi="Arial" w:cs="Arial"/>
                <w:sz w:val="20"/>
                <w:lang w:val="en-US" w:eastAsia="en-US"/>
              </w:rPr>
              <w:t>DoA</w:t>
            </w:r>
            <w:proofErr w:type="spellEnd"/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68235524" w14:textId="2CE32E06" w:rsidR="00C56BBF" w:rsidRPr="00827773" w:rsidRDefault="00C56BBF" w:rsidP="00940B6C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On receipt of the approved copy by </w:t>
            </w:r>
            <w:r w:rsidR="008B5205" w:rsidRPr="008B5205">
              <w:rPr>
                <w:rFonts w:ascii="Arial" w:hAnsi="Arial" w:cs="Arial"/>
                <w:color w:val="548DD4" w:themeColor="text2" w:themeTint="99"/>
                <w:sz w:val="20"/>
                <w:lang w:val="en-US" w:eastAsia="en-US"/>
              </w:rPr>
              <w:t>SHAMS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Management, one copy is provided to </w:t>
            </w:r>
            <w:r w:rsidR="00940B6C">
              <w:rPr>
                <w:rFonts w:ascii="Arial" w:hAnsi="Arial" w:cs="Arial"/>
                <w:sz w:val="20"/>
                <w:lang w:val="en-US" w:eastAsia="en-US"/>
              </w:rPr>
              <w:t>supplier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, another copy is kept with </w:t>
            </w:r>
            <w:r w:rsidR="007F642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. Other copies are made and distributed to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and Finance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2E863366" w14:textId="77777777" w:rsidR="00C56BBF" w:rsidRPr="00827773" w:rsidRDefault="00C56BBF" w:rsidP="00C56BBF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After that, contract shall be administered by the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for receipt of services / goods as per contract terms and conditions. Compliance with contract terms and conditions shall be ensured by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6D6EAA6A" w14:textId="77777777" w:rsidR="00C56BBF" w:rsidRPr="00827773" w:rsidRDefault="00C56BBF" w:rsidP="00940B6C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827773">
              <w:rPr>
                <w:rFonts w:ascii="Arial" w:hAnsi="Arial" w:cs="Arial"/>
                <w:sz w:val="20"/>
                <w:lang w:val="en-US" w:eastAsia="en-US"/>
              </w:rPr>
              <w:lastRenderedPageBreak/>
              <w:t xml:space="preserve">On completion of services / goods delivery by </w:t>
            </w:r>
            <w:r w:rsidR="00940B6C">
              <w:rPr>
                <w:rFonts w:ascii="Arial" w:hAnsi="Arial" w:cs="Arial"/>
                <w:sz w:val="20"/>
                <w:lang w:val="en-US" w:eastAsia="en-US"/>
              </w:rPr>
              <w:t>supplier,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 xml:space="preserve">delivery note 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/ Completion Report is prepared by the User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and forwarded to Finance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for processing.</w:t>
            </w:r>
          </w:p>
          <w:p w14:paraId="498CA6F5" w14:textId="77777777" w:rsidR="00C56BBF" w:rsidRPr="008A1A7E" w:rsidRDefault="00C56BBF" w:rsidP="00C56BBF">
            <w:pPr>
              <w:pStyle w:val="BodyText"/>
              <w:numPr>
                <w:ilvl w:val="0"/>
                <w:numId w:val="15"/>
              </w:numPr>
              <w:spacing w:before="360" w:after="60" w:line="240" w:lineRule="auto"/>
              <w:ind w:left="714" w:hanging="357"/>
              <w:jc w:val="both"/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</w:pPr>
            <w:r w:rsidRPr="008A1A7E">
              <w:rPr>
                <w:rFonts w:ascii="Arial" w:hAnsi="Arial" w:cs="Arial"/>
                <w:b/>
                <w:bCs/>
                <w:color w:val="002060"/>
                <w:sz w:val="20"/>
                <w:u w:val="single"/>
                <w:lang w:val="en-US" w:eastAsia="en-US"/>
              </w:rPr>
              <w:t>Performance Evaluation of Vendors</w:t>
            </w:r>
          </w:p>
          <w:p w14:paraId="33EDE7FC" w14:textId="77777777" w:rsidR="00C56BBF" w:rsidRPr="00827773" w:rsidRDefault="00C56BBF" w:rsidP="007F6424">
            <w:pPr>
              <w:pStyle w:val="BodyText"/>
              <w:spacing w:before="120" w:after="60" w:line="240" w:lineRule="auto"/>
              <w:ind w:left="720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There is a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mechanism in place undertaken by the </w:t>
            </w:r>
            <w:r w:rsidR="007F6424">
              <w:rPr>
                <w:rFonts w:ascii="Arial" w:hAnsi="Arial" w:cs="Arial"/>
                <w:sz w:val="20"/>
                <w:lang w:val="en-US" w:eastAsia="en-US"/>
              </w:rPr>
              <w:t>Purchasing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 w:eastAsia="en-US"/>
              </w:rPr>
              <w:t>Section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to regularly assess and evaluate the performance of </w:t>
            </w:r>
            <w:r w:rsidR="007F6424">
              <w:rPr>
                <w:rFonts w:ascii="Arial" w:hAnsi="Arial" w:cs="Arial"/>
                <w:sz w:val="20"/>
                <w:lang w:val="en-US" w:eastAsia="en-US"/>
              </w:rPr>
              <w:t>suppliers</w:t>
            </w:r>
            <w:r w:rsidRPr="00827773">
              <w:rPr>
                <w:rFonts w:ascii="Arial" w:hAnsi="Arial" w:cs="Arial"/>
                <w:sz w:val="20"/>
                <w:lang w:val="en-US" w:eastAsia="en-US"/>
              </w:rPr>
              <w:t xml:space="preserve"> on the basis of defined </w:t>
            </w:r>
            <w:r w:rsidR="00940B6C" w:rsidRPr="00827773">
              <w:rPr>
                <w:rFonts w:ascii="Arial" w:hAnsi="Arial" w:cs="Arial"/>
                <w:sz w:val="20"/>
                <w:lang w:val="en-US" w:eastAsia="en-US"/>
              </w:rPr>
              <w:t>criteria</w:t>
            </w:r>
            <w:r w:rsidR="00940B6C">
              <w:rPr>
                <w:rFonts w:ascii="Arial" w:hAnsi="Arial" w:cs="Arial"/>
                <w:sz w:val="20"/>
                <w:lang w:val="en-US" w:eastAsia="en-US"/>
              </w:rPr>
              <w:t>.</w:t>
            </w:r>
          </w:p>
          <w:p w14:paraId="48E9865D" w14:textId="77777777" w:rsidR="00814208" w:rsidRPr="00827773" w:rsidRDefault="00814208" w:rsidP="00814208">
            <w:pPr>
              <w:pStyle w:val="BodyText"/>
              <w:spacing w:before="60" w:after="120" w:line="240" w:lineRule="auto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</w:p>
          <w:p w14:paraId="41D47321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E518E8F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9D6C80F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FC5C58E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138DE30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DB085D1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80A8D7A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7E2400A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DBF7461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4E0A8A6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9B2A201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4FDAE99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31FD9D5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7F48755" w14:textId="77777777" w:rsidR="00C56BBF" w:rsidRDefault="00C56BBF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AF8C89B" w14:textId="77777777" w:rsidR="00983791" w:rsidRPr="00983791" w:rsidRDefault="00983791" w:rsidP="0098379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534BE66" w14:textId="77777777" w:rsidR="00983791" w:rsidRPr="00983791" w:rsidRDefault="00983791" w:rsidP="00983791">
            <w:pPr>
              <w:ind w:left="1440"/>
              <w:rPr>
                <w:rFonts w:ascii="Arial" w:hAnsi="Arial" w:cs="Arial"/>
                <w:sz w:val="24"/>
              </w:rPr>
            </w:pPr>
            <w:r w:rsidRPr="00983791">
              <w:rPr>
                <w:rFonts w:ascii="Arial" w:hAnsi="Arial" w:cs="Arial"/>
                <w:sz w:val="24"/>
              </w:rPr>
              <w:tab/>
            </w:r>
          </w:p>
          <w:p w14:paraId="73790B98" w14:textId="77777777" w:rsidR="008F7AE3" w:rsidRPr="00983791" w:rsidRDefault="008F7AE3" w:rsidP="008F7AE3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E86D3F" w:rsidRPr="00F22C36" w14:paraId="7B704D44" w14:textId="77777777" w:rsidTr="008A1A7E">
        <w:trPr>
          <w:trHeight w:val="5930"/>
        </w:trPr>
        <w:tc>
          <w:tcPr>
            <w:tcW w:w="732" w:type="pct"/>
            <w:shd w:val="clear" w:color="auto" w:fill="FF0000"/>
          </w:tcPr>
          <w:p w14:paraId="0175FE81" w14:textId="77777777" w:rsidR="00E86D3F" w:rsidRPr="00F22C36" w:rsidRDefault="00E86D3F" w:rsidP="00983791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22C3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br w:type="page"/>
            </w:r>
            <w:r w:rsidR="00983791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Production Department </w:t>
            </w:r>
            <w:r w:rsidR="003155AB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- </w:t>
            </w:r>
            <w:r w:rsidRPr="00F22C36">
              <w:rPr>
                <w:rFonts w:asciiTheme="minorHAnsi" w:hAnsiTheme="minorHAnsi" w:cstheme="minorHAnsi"/>
                <w:b/>
                <w:color w:val="FFFFFF" w:themeColor="background1"/>
              </w:rPr>
              <w:t>Organizational Structure</w:t>
            </w:r>
          </w:p>
        </w:tc>
        <w:tc>
          <w:tcPr>
            <w:tcW w:w="4268" w:type="pct"/>
            <w:shd w:val="clear" w:color="auto" w:fill="auto"/>
          </w:tcPr>
          <w:p w14:paraId="26B150AA" w14:textId="5BA0A91B" w:rsidR="00B821B9" w:rsidRPr="00983791" w:rsidRDefault="000979EA" w:rsidP="00D23D73">
            <w:pPr>
              <w:rPr>
                <w:rFonts w:ascii="Arial" w:hAnsi="Arial" w:cs="Arial"/>
                <w:sz w:val="24"/>
              </w:rPr>
            </w:pPr>
            <w:r w:rsidRPr="00983791">
              <w:rPr>
                <w:rFonts w:ascii="Arial" w:hAnsi="Arial" w:cs="Arial"/>
                <w:noProof/>
                <w:sz w:val="24"/>
              </w:rPr>
              <w:t xml:space="preserve"> </w:t>
            </w:r>
          </w:p>
        </w:tc>
      </w:tr>
    </w:tbl>
    <w:p w14:paraId="1E51284C" w14:textId="77777777" w:rsidR="00FC4693" w:rsidRDefault="00FC4693"/>
    <w:tbl>
      <w:tblPr>
        <w:tblW w:w="5000" w:type="pct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1E0" w:firstRow="1" w:lastRow="1" w:firstColumn="1" w:lastColumn="1" w:noHBand="0" w:noVBand="0"/>
      </w:tblPr>
      <w:tblGrid>
        <w:gridCol w:w="3237"/>
        <w:gridCol w:w="3238"/>
        <w:gridCol w:w="2352"/>
        <w:gridCol w:w="4123"/>
      </w:tblGrid>
      <w:tr w:rsidR="003E1422" w:rsidRPr="005C6DBB" w14:paraId="18AE4752" w14:textId="77777777" w:rsidTr="008B5205">
        <w:trPr>
          <w:trHeight w:val="513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FF0000"/>
            <w:vAlign w:val="center"/>
          </w:tcPr>
          <w:p w14:paraId="2A83ADC6" w14:textId="77777777" w:rsidR="003E1422" w:rsidRDefault="003E1422" w:rsidP="003B5215">
            <w:pPr>
              <w:tabs>
                <w:tab w:val="left" w:pos="0"/>
              </w:tabs>
              <w:ind w:left="90"/>
              <w:rPr>
                <w:rFonts w:asciiTheme="minorHAnsi" w:hAnsiTheme="minorHAnsi" w:cs="Arial"/>
                <w:b/>
                <w:bCs/>
                <w:color w:val="FFFFFF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Cs w:val="20"/>
              </w:rPr>
              <w:t>Approvals</w:t>
            </w:r>
          </w:p>
        </w:tc>
      </w:tr>
      <w:tr w:rsidR="003E1422" w:rsidRPr="005C6DBB" w14:paraId="7DD46923" w14:textId="77777777" w:rsidTr="008B5205">
        <w:trPr>
          <w:trHeight w:val="513"/>
        </w:trPr>
        <w:tc>
          <w:tcPr>
            <w:tcW w:w="1250" w:type="pct"/>
            <w:tcBorders>
              <w:top w:val="nil"/>
            </w:tcBorders>
            <w:shd w:val="clear" w:color="auto" w:fill="FF0000"/>
            <w:vAlign w:val="center"/>
          </w:tcPr>
          <w:p w14:paraId="70F2C5B7" w14:textId="77777777" w:rsidR="003E1422" w:rsidRPr="00C16C04" w:rsidRDefault="003E1422" w:rsidP="003B5215">
            <w:pPr>
              <w:tabs>
                <w:tab w:val="left" w:pos="0"/>
              </w:tabs>
              <w:ind w:left="90"/>
              <w:jc w:val="center"/>
              <w:rPr>
                <w:rFonts w:asciiTheme="minorHAnsi" w:hAnsiTheme="minorHAnsi" w:cs="Arial"/>
                <w:b/>
                <w:bCs/>
                <w:color w:val="FFFFFF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Cs w:val="20"/>
              </w:rPr>
              <w:t>Name</w:t>
            </w:r>
          </w:p>
        </w:tc>
        <w:tc>
          <w:tcPr>
            <w:tcW w:w="1250" w:type="pct"/>
            <w:tcBorders>
              <w:top w:val="nil"/>
            </w:tcBorders>
            <w:shd w:val="clear" w:color="auto" w:fill="FF0000"/>
            <w:vAlign w:val="center"/>
          </w:tcPr>
          <w:p w14:paraId="2C97EEC6" w14:textId="77777777" w:rsidR="003E1422" w:rsidRPr="00C16C04" w:rsidRDefault="003E1422" w:rsidP="003B5215">
            <w:pPr>
              <w:tabs>
                <w:tab w:val="left" w:pos="0"/>
              </w:tabs>
              <w:ind w:left="90"/>
              <w:jc w:val="center"/>
              <w:rPr>
                <w:rFonts w:asciiTheme="minorHAnsi" w:hAnsiTheme="minorHAnsi" w:cs="Arial"/>
                <w:b/>
                <w:bCs/>
                <w:color w:val="FFFFFF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Cs w:val="20"/>
              </w:rPr>
              <w:t>Task</w:t>
            </w:r>
          </w:p>
        </w:tc>
        <w:tc>
          <w:tcPr>
            <w:tcW w:w="908" w:type="pct"/>
            <w:tcBorders>
              <w:top w:val="nil"/>
            </w:tcBorders>
            <w:shd w:val="clear" w:color="auto" w:fill="FF0000"/>
          </w:tcPr>
          <w:p w14:paraId="5BAFEDFB" w14:textId="77777777" w:rsidR="003E1422" w:rsidRDefault="003E1422" w:rsidP="003B5215">
            <w:pPr>
              <w:tabs>
                <w:tab w:val="left" w:pos="0"/>
              </w:tabs>
              <w:ind w:left="90"/>
              <w:jc w:val="center"/>
              <w:rPr>
                <w:rFonts w:asciiTheme="minorHAnsi" w:hAnsiTheme="minorHAnsi" w:cs="Arial"/>
                <w:b/>
                <w:bCs/>
                <w:color w:val="FFFFFF"/>
                <w:szCs w:val="20"/>
              </w:rPr>
            </w:pPr>
          </w:p>
          <w:p w14:paraId="07499E0A" w14:textId="77777777" w:rsidR="003E1422" w:rsidRPr="00AC450E" w:rsidRDefault="003E1422" w:rsidP="003B5215">
            <w:pPr>
              <w:ind w:firstLine="720"/>
              <w:rPr>
                <w:rFonts w:asciiTheme="minorHAnsi" w:hAnsiTheme="minorHAnsi" w:cs="Arial"/>
                <w:b/>
                <w:bCs/>
                <w:color w:val="FFFFFF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Cs w:val="20"/>
              </w:rPr>
              <w:t>Role</w:t>
            </w:r>
          </w:p>
        </w:tc>
        <w:tc>
          <w:tcPr>
            <w:tcW w:w="1592" w:type="pct"/>
            <w:tcBorders>
              <w:top w:val="nil"/>
            </w:tcBorders>
            <w:shd w:val="clear" w:color="auto" w:fill="FF0000"/>
            <w:vAlign w:val="center"/>
          </w:tcPr>
          <w:p w14:paraId="2E408FAB" w14:textId="77777777" w:rsidR="003E1422" w:rsidRPr="00C16C04" w:rsidRDefault="003E1422" w:rsidP="003B5215">
            <w:pPr>
              <w:tabs>
                <w:tab w:val="left" w:pos="0"/>
              </w:tabs>
              <w:ind w:left="90"/>
              <w:jc w:val="center"/>
              <w:rPr>
                <w:rFonts w:asciiTheme="minorHAnsi" w:hAnsiTheme="minorHAnsi" w:cs="Arial"/>
                <w:b/>
                <w:bCs/>
                <w:color w:val="FFFFFF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Cs w:val="20"/>
              </w:rPr>
              <w:t>Signature</w:t>
            </w:r>
          </w:p>
        </w:tc>
      </w:tr>
      <w:tr w:rsidR="00D9655D" w:rsidRPr="005C6DBB" w14:paraId="772A78CB" w14:textId="77777777" w:rsidTr="00721691">
        <w:trPr>
          <w:trHeight w:val="728"/>
        </w:trPr>
        <w:tc>
          <w:tcPr>
            <w:tcW w:w="1250" w:type="pct"/>
            <w:shd w:val="clear" w:color="auto" w:fill="auto"/>
            <w:vAlign w:val="center"/>
          </w:tcPr>
          <w:p w14:paraId="58D251A2" w14:textId="2053A496" w:rsidR="00D9655D" w:rsidRPr="00846A62" w:rsidRDefault="008B5205" w:rsidP="00D9655D">
            <w:pPr>
              <w:tabs>
                <w:tab w:val="left" w:pos="0"/>
              </w:tabs>
              <w:spacing w:before="120"/>
              <w:jc w:val="center"/>
              <w:rPr>
                <w:rFonts w:asciiTheme="minorHAnsi" w:hAnsiTheme="minorHAnsi" w:cs="Arial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>:Jad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7929FAD" w14:textId="77777777" w:rsidR="00D9655D" w:rsidRPr="00846A62" w:rsidRDefault="007C64A9" w:rsidP="00D9655D">
            <w:pPr>
              <w:tabs>
                <w:tab w:val="left" w:pos="0"/>
              </w:tabs>
              <w:spacing w:before="120"/>
              <w:jc w:val="center"/>
              <w:rPr>
                <w:rFonts w:asciiTheme="minorHAnsi" w:hAnsiTheme="minorHAnsi" w:cs="Arial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>Prepare</w:t>
            </w:r>
          </w:p>
        </w:tc>
        <w:tc>
          <w:tcPr>
            <w:tcW w:w="908" w:type="pct"/>
          </w:tcPr>
          <w:p w14:paraId="6F0471EF" w14:textId="77777777" w:rsidR="00D9655D" w:rsidRPr="00721691" w:rsidRDefault="00BB0386" w:rsidP="00BB0386">
            <w:pPr>
              <w:tabs>
                <w:tab w:val="left" w:pos="0"/>
              </w:tabs>
              <w:spacing w:before="120"/>
              <w:jc w:val="center"/>
              <w:rPr>
                <w:rFonts w:asciiTheme="minorHAnsi" w:hAnsiTheme="minorHAnsi" w:cs="Arial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 xml:space="preserve">Senior </w:t>
            </w:r>
            <w:r w:rsidR="007C64A9"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 xml:space="preserve">Auditor </w:t>
            </w:r>
          </w:p>
        </w:tc>
        <w:tc>
          <w:tcPr>
            <w:tcW w:w="1592" w:type="pct"/>
            <w:vAlign w:val="center"/>
          </w:tcPr>
          <w:p w14:paraId="1893BF9C" w14:textId="77777777" w:rsidR="00D9655D" w:rsidRPr="005C6DBB" w:rsidRDefault="00D9655D" w:rsidP="00D9655D">
            <w:pPr>
              <w:pStyle w:val="ListParagraph"/>
              <w:tabs>
                <w:tab w:val="left" w:pos="0"/>
              </w:tabs>
              <w:spacing w:before="120"/>
              <w:ind w:left="432"/>
              <w:jc w:val="center"/>
              <w:rPr>
                <w:rFonts w:asciiTheme="minorHAnsi" w:hAnsiTheme="minorHAnsi" w:cs="Arial"/>
                <w:bCs/>
                <w:color w:val="003366"/>
              </w:rPr>
            </w:pPr>
          </w:p>
        </w:tc>
      </w:tr>
      <w:tr w:rsidR="007C64A9" w:rsidRPr="005C6DBB" w14:paraId="39C9EB20" w14:textId="77777777" w:rsidTr="00721691">
        <w:trPr>
          <w:trHeight w:val="701"/>
        </w:trPr>
        <w:tc>
          <w:tcPr>
            <w:tcW w:w="1250" w:type="pct"/>
            <w:shd w:val="clear" w:color="auto" w:fill="auto"/>
            <w:vAlign w:val="center"/>
          </w:tcPr>
          <w:p w14:paraId="3368FBA2" w14:textId="77777777" w:rsidR="007C64A9" w:rsidRPr="00846A62" w:rsidRDefault="001A391C" w:rsidP="007C64A9">
            <w:pPr>
              <w:tabs>
                <w:tab w:val="left" w:pos="0"/>
              </w:tabs>
              <w:spacing w:before="120"/>
              <w:jc w:val="center"/>
              <w:rPr>
                <w:rFonts w:asciiTheme="minorHAnsi" w:hAnsiTheme="minorHAnsi" w:cs="Arial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 xml:space="preserve">Sahar Hussein </w:t>
            </w:r>
            <w:r w:rsidR="00BB0386"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D8A414E" w14:textId="77777777" w:rsidR="007C64A9" w:rsidRPr="00846A62" w:rsidRDefault="007C64A9" w:rsidP="007C64A9">
            <w:pPr>
              <w:tabs>
                <w:tab w:val="left" w:pos="0"/>
              </w:tabs>
              <w:spacing w:before="120"/>
              <w:jc w:val="center"/>
              <w:rPr>
                <w:rFonts w:asciiTheme="minorHAnsi" w:hAnsiTheme="minorHAnsi" w:cs="Arial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>Review</w:t>
            </w:r>
          </w:p>
        </w:tc>
        <w:tc>
          <w:tcPr>
            <w:tcW w:w="908" w:type="pct"/>
          </w:tcPr>
          <w:p w14:paraId="1BF823CE" w14:textId="77777777" w:rsidR="007C64A9" w:rsidRPr="00721691" w:rsidRDefault="007C64A9" w:rsidP="007C64A9">
            <w:pPr>
              <w:tabs>
                <w:tab w:val="left" w:pos="0"/>
              </w:tabs>
              <w:spacing w:before="120"/>
              <w:jc w:val="center"/>
              <w:rPr>
                <w:rFonts w:asciiTheme="minorHAnsi" w:hAnsiTheme="minorHAnsi" w:cs="Arial"/>
                <w:bCs/>
                <w:color w:val="000000" w:themeColor="text1"/>
                <w:szCs w:val="20"/>
              </w:rPr>
            </w:pPr>
            <w:r w:rsidRPr="00721691">
              <w:rPr>
                <w:rFonts w:asciiTheme="minorHAnsi" w:hAnsiTheme="minorHAnsi" w:cs="Arial"/>
                <w:bCs/>
                <w:color w:val="000000" w:themeColor="text1"/>
                <w:szCs w:val="20"/>
              </w:rPr>
              <w:t xml:space="preserve">Internal Audit Manager </w:t>
            </w:r>
          </w:p>
        </w:tc>
        <w:tc>
          <w:tcPr>
            <w:tcW w:w="1592" w:type="pct"/>
            <w:vAlign w:val="center"/>
          </w:tcPr>
          <w:p w14:paraId="198260D8" w14:textId="77777777" w:rsidR="007C64A9" w:rsidRPr="005C6DBB" w:rsidRDefault="007C64A9" w:rsidP="007C64A9">
            <w:pPr>
              <w:pStyle w:val="ListParagraph"/>
              <w:tabs>
                <w:tab w:val="left" w:pos="0"/>
              </w:tabs>
              <w:spacing w:before="120"/>
              <w:ind w:left="432"/>
              <w:jc w:val="center"/>
              <w:rPr>
                <w:rFonts w:asciiTheme="minorHAnsi" w:hAnsiTheme="minorHAnsi" w:cs="Arial"/>
                <w:bCs/>
                <w:color w:val="003366"/>
              </w:rPr>
            </w:pPr>
          </w:p>
        </w:tc>
      </w:tr>
    </w:tbl>
    <w:p w14:paraId="124E0E5C" w14:textId="77777777" w:rsidR="00E86D3F" w:rsidRDefault="00E86D3F" w:rsidP="008558C0"/>
    <w:sectPr w:rsidR="00E86D3F" w:rsidSect="00915F1B">
      <w:footerReference w:type="default" r:id="rId9"/>
      <w:pgSz w:w="15840" w:h="12240" w:orient="landscape" w:code="1"/>
      <w:pgMar w:top="1440" w:right="1440" w:bottom="134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847C8" w14:textId="77777777" w:rsidR="00915F1B" w:rsidRDefault="00915F1B" w:rsidP="00E86D3F">
      <w:r>
        <w:separator/>
      </w:r>
    </w:p>
  </w:endnote>
  <w:endnote w:type="continuationSeparator" w:id="0">
    <w:p w14:paraId="63295F13" w14:textId="77777777" w:rsidR="00915F1B" w:rsidRDefault="00915F1B" w:rsidP="00E8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orbel"/>
    <w:charset w:val="00"/>
    <w:family w:val="auto"/>
    <w:pitch w:val="variable"/>
    <w:sig w:usb0="00000001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5887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F9616" w14:textId="77777777" w:rsidR="001117AD" w:rsidRDefault="00111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FA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90D9D63" w14:textId="77777777" w:rsidR="001117AD" w:rsidRDefault="00111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FFF5" w14:textId="77777777" w:rsidR="00915F1B" w:rsidRDefault="00915F1B" w:rsidP="00E86D3F">
      <w:r>
        <w:separator/>
      </w:r>
    </w:p>
  </w:footnote>
  <w:footnote w:type="continuationSeparator" w:id="0">
    <w:p w14:paraId="5B005D04" w14:textId="77777777" w:rsidR="00915F1B" w:rsidRDefault="00915F1B" w:rsidP="00E86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5B7"/>
    <w:multiLevelType w:val="hybridMultilevel"/>
    <w:tmpl w:val="4722436C"/>
    <w:lvl w:ilvl="0" w:tplc="EB862ED0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70A0DEB"/>
    <w:multiLevelType w:val="hybridMultilevel"/>
    <w:tmpl w:val="552E3F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6A3086"/>
    <w:multiLevelType w:val="hybridMultilevel"/>
    <w:tmpl w:val="7FCAE99C"/>
    <w:lvl w:ilvl="0" w:tplc="AA620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974D3"/>
    <w:multiLevelType w:val="hybridMultilevel"/>
    <w:tmpl w:val="35046708"/>
    <w:lvl w:ilvl="0" w:tplc="797054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92C21"/>
    <w:multiLevelType w:val="hybridMultilevel"/>
    <w:tmpl w:val="56BCEC16"/>
    <w:lvl w:ilvl="0" w:tplc="20D619A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8F6A0A"/>
    <w:multiLevelType w:val="hybridMultilevel"/>
    <w:tmpl w:val="B01246A0"/>
    <w:lvl w:ilvl="0" w:tplc="A29473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F4438D"/>
    <w:multiLevelType w:val="hybridMultilevel"/>
    <w:tmpl w:val="9FF0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9183B"/>
    <w:multiLevelType w:val="hybridMultilevel"/>
    <w:tmpl w:val="A12827F8"/>
    <w:lvl w:ilvl="0" w:tplc="B38EE12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B5599"/>
    <w:multiLevelType w:val="hybridMultilevel"/>
    <w:tmpl w:val="1C3481D6"/>
    <w:lvl w:ilvl="0" w:tplc="775CA990">
      <w:start w:val="1"/>
      <w:numFmt w:val="decimal"/>
      <w:lvlText w:val="%1-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E7D5298"/>
    <w:multiLevelType w:val="hybridMultilevel"/>
    <w:tmpl w:val="390AC53A"/>
    <w:lvl w:ilvl="0" w:tplc="FF5E4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12765"/>
    <w:multiLevelType w:val="hybridMultilevel"/>
    <w:tmpl w:val="E8F6C364"/>
    <w:lvl w:ilvl="0" w:tplc="FBF201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74FF0"/>
    <w:multiLevelType w:val="hybridMultilevel"/>
    <w:tmpl w:val="68C4AF84"/>
    <w:lvl w:ilvl="0" w:tplc="8BA492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1B460E"/>
    <w:multiLevelType w:val="hybridMultilevel"/>
    <w:tmpl w:val="424484DE"/>
    <w:lvl w:ilvl="0" w:tplc="71B0EBB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D4EE9"/>
    <w:multiLevelType w:val="hybridMultilevel"/>
    <w:tmpl w:val="1C6802D0"/>
    <w:lvl w:ilvl="0" w:tplc="032AE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820A4"/>
    <w:multiLevelType w:val="hybridMultilevel"/>
    <w:tmpl w:val="627E174C"/>
    <w:lvl w:ilvl="0" w:tplc="77E03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22B34"/>
    <w:multiLevelType w:val="multilevel"/>
    <w:tmpl w:val="6ABE5A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num w:numId="1" w16cid:durableId="351105719">
    <w:abstractNumId w:val="4"/>
  </w:num>
  <w:num w:numId="2" w16cid:durableId="2007782037">
    <w:abstractNumId w:val="2"/>
  </w:num>
  <w:num w:numId="3" w16cid:durableId="969700492">
    <w:abstractNumId w:val="10"/>
  </w:num>
  <w:num w:numId="4" w16cid:durableId="568031067">
    <w:abstractNumId w:val="7"/>
  </w:num>
  <w:num w:numId="5" w16cid:durableId="254939778">
    <w:abstractNumId w:val="12"/>
  </w:num>
  <w:num w:numId="6" w16cid:durableId="1837458966">
    <w:abstractNumId w:val="13"/>
  </w:num>
  <w:num w:numId="7" w16cid:durableId="556473717">
    <w:abstractNumId w:val="14"/>
  </w:num>
  <w:num w:numId="8" w16cid:durableId="489830311">
    <w:abstractNumId w:val="8"/>
  </w:num>
  <w:num w:numId="9" w16cid:durableId="2089573902">
    <w:abstractNumId w:val="3"/>
  </w:num>
  <w:num w:numId="10" w16cid:durableId="432869873">
    <w:abstractNumId w:val="9"/>
  </w:num>
  <w:num w:numId="11" w16cid:durableId="1773666857">
    <w:abstractNumId w:val="11"/>
  </w:num>
  <w:num w:numId="12" w16cid:durableId="765002677">
    <w:abstractNumId w:val="0"/>
  </w:num>
  <w:num w:numId="13" w16cid:durableId="1329863881">
    <w:abstractNumId w:val="6"/>
  </w:num>
  <w:num w:numId="14" w16cid:durableId="2072388752">
    <w:abstractNumId w:val="1"/>
  </w:num>
  <w:num w:numId="15" w16cid:durableId="1597402988">
    <w:abstractNumId w:val="5"/>
  </w:num>
  <w:num w:numId="16" w16cid:durableId="812985542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3F"/>
    <w:rsid w:val="00002488"/>
    <w:rsid w:val="00010B4B"/>
    <w:rsid w:val="00015BD8"/>
    <w:rsid w:val="00022200"/>
    <w:rsid w:val="0002441E"/>
    <w:rsid w:val="00025530"/>
    <w:rsid w:val="00030D5F"/>
    <w:rsid w:val="00041198"/>
    <w:rsid w:val="0004243C"/>
    <w:rsid w:val="0005563E"/>
    <w:rsid w:val="00062FA0"/>
    <w:rsid w:val="00063955"/>
    <w:rsid w:val="00067446"/>
    <w:rsid w:val="00067F63"/>
    <w:rsid w:val="00084D10"/>
    <w:rsid w:val="00086881"/>
    <w:rsid w:val="00092C0E"/>
    <w:rsid w:val="0009781A"/>
    <w:rsid w:val="000979EA"/>
    <w:rsid w:val="000A7758"/>
    <w:rsid w:val="000B6D27"/>
    <w:rsid w:val="000F1571"/>
    <w:rsid w:val="000F5BA6"/>
    <w:rsid w:val="00100C6A"/>
    <w:rsid w:val="001117AD"/>
    <w:rsid w:val="0011404A"/>
    <w:rsid w:val="001209CF"/>
    <w:rsid w:val="0013586E"/>
    <w:rsid w:val="00144593"/>
    <w:rsid w:val="0014690D"/>
    <w:rsid w:val="00151020"/>
    <w:rsid w:val="00155AFA"/>
    <w:rsid w:val="0016190E"/>
    <w:rsid w:val="00166269"/>
    <w:rsid w:val="00167BF1"/>
    <w:rsid w:val="001844F6"/>
    <w:rsid w:val="00185DA2"/>
    <w:rsid w:val="00186CCF"/>
    <w:rsid w:val="00196260"/>
    <w:rsid w:val="0019708E"/>
    <w:rsid w:val="001A391C"/>
    <w:rsid w:val="001A6739"/>
    <w:rsid w:val="001A73CB"/>
    <w:rsid w:val="001B14F2"/>
    <w:rsid w:val="001B1983"/>
    <w:rsid w:val="001B6080"/>
    <w:rsid w:val="001C6294"/>
    <w:rsid w:val="001C6631"/>
    <w:rsid w:val="001E1AFE"/>
    <w:rsid w:val="002034C5"/>
    <w:rsid w:val="00212190"/>
    <w:rsid w:val="002134F9"/>
    <w:rsid w:val="0021471E"/>
    <w:rsid w:val="00217A2D"/>
    <w:rsid w:val="002303CE"/>
    <w:rsid w:val="0023474D"/>
    <w:rsid w:val="002500C9"/>
    <w:rsid w:val="00254C52"/>
    <w:rsid w:val="00282A21"/>
    <w:rsid w:val="00290717"/>
    <w:rsid w:val="002B1892"/>
    <w:rsid w:val="002B5E07"/>
    <w:rsid w:val="002C40D1"/>
    <w:rsid w:val="002C5C37"/>
    <w:rsid w:val="002E3F3E"/>
    <w:rsid w:val="002E62ED"/>
    <w:rsid w:val="002F3766"/>
    <w:rsid w:val="003024F1"/>
    <w:rsid w:val="003079C2"/>
    <w:rsid w:val="003155AB"/>
    <w:rsid w:val="00316518"/>
    <w:rsid w:val="003218CC"/>
    <w:rsid w:val="0032738F"/>
    <w:rsid w:val="0032747D"/>
    <w:rsid w:val="00340A3E"/>
    <w:rsid w:val="00344CBE"/>
    <w:rsid w:val="0034749B"/>
    <w:rsid w:val="003477FF"/>
    <w:rsid w:val="00350DDE"/>
    <w:rsid w:val="00361122"/>
    <w:rsid w:val="00361F15"/>
    <w:rsid w:val="0036653A"/>
    <w:rsid w:val="00387F13"/>
    <w:rsid w:val="00394174"/>
    <w:rsid w:val="003949DB"/>
    <w:rsid w:val="00395827"/>
    <w:rsid w:val="00396D1D"/>
    <w:rsid w:val="003B2AE3"/>
    <w:rsid w:val="003B4A82"/>
    <w:rsid w:val="003B6FC7"/>
    <w:rsid w:val="003C3730"/>
    <w:rsid w:val="003D2B6E"/>
    <w:rsid w:val="003E1422"/>
    <w:rsid w:val="003F0B8E"/>
    <w:rsid w:val="003F1D10"/>
    <w:rsid w:val="003F4B8F"/>
    <w:rsid w:val="003F701F"/>
    <w:rsid w:val="0041010C"/>
    <w:rsid w:val="00411FC5"/>
    <w:rsid w:val="004208A9"/>
    <w:rsid w:val="0043476E"/>
    <w:rsid w:val="004351D8"/>
    <w:rsid w:val="00445B47"/>
    <w:rsid w:val="0045009C"/>
    <w:rsid w:val="00454100"/>
    <w:rsid w:val="00454CB5"/>
    <w:rsid w:val="0045693F"/>
    <w:rsid w:val="00460C68"/>
    <w:rsid w:val="00464E31"/>
    <w:rsid w:val="00471FEE"/>
    <w:rsid w:val="0047251A"/>
    <w:rsid w:val="00475F98"/>
    <w:rsid w:val="00482063"/>
    <w:rsid w:val="00483CCA"/>
    <w:rsid w:val="004A7B20"/>
    <w:rsid w:val="004B06BB"/>
    <w:rsid w:val="004B6BCC"/>
    <w:rsid w:val="004D4507"/>
    <w:rsid w:val="004E2B78"/>
    <w:rsid w:val="004F23DB"/>
    <w:rsid w:val="00500121"/>
    <w:rsid w:val="0050706A"/>
    <w:rsid w:val="005143D3"/>
    <w:rsid w:val="005278D8"/>
    <w:rsid w:val="0053151F"/>
    <w:rsid w:val="005318D4"/>
    <w:rsid w:val="0053455B"/>
    <w:rsid w:val="005410C0"/>
    <w:rsid w:val="0054196D"/>
    <w:rsid w:val="005443BD"/>
    <w:rsid w:val="005521E0"/>
    <w:rsid w:val="005613C0"/>
    <w:rsid w:val="00565BC3"/>
    <w:rsid w:val="00567044"/>
    <w:rsid w:val="005713AF"/>
    <w:rsid w:val="00572A96"/>
    <w:rsid w:val="0057532E"/>
    <w:rsid w:val="00582EFA"/>
    <w:rsid w:val="005841E6"/>
    <w:rsid w:val="00584DDD"/>
    <w:rsid w:val="0058671F"/>
    <w:rsid w:val="00591704"/>
    <w:rsid w:val="005A6664"/>
    <w:rsid w:val="005C364A"/>
    <w:rsid w:val="005D009F"/>
    <w:rsid w:val="005E6706"/>
    <w:rsid w:val="005E67F6"/>
    <w:rsid w:val="005F52D3"/>
    <w:rsid w:val="005F6AA5"/>
    <w:rsid w:val="006041DD"/>
    <w:rsid w:val="00617895"/>
    <w:rsid w:val="00622085"/>
    <w:rsid w:val="00623951"/>
    <w:rsid w:val="00624E50"/>
    <w:rsid w:val="00630C57"/>
    <w:rsid w:val="00641763"/>
    <w:rsid w:val="00646C34"/>
    <w:rsid w:val="00662F84"/>
    <w:rsid w:val="00664B4F"/>
    <w:rsid w:val="00674D72"/>
    <w:rsid w:val="006817C5"/>
    <w:rsid w:val="00681F63"/>
    <w:rsid w:val="00683165"/>
    <w:rsid w:val="00692342"/>
    <w:rsid w:val="00692D63"/>
    <w:rsid w:val="006A6A37"/>
    <w:rsid w:val="006B0B07"/>
    <w:rsid w:val="006B7EAA"/>
    <w:rsid w:val="006C4C64"/>
    <w:rsid w:val="006C6B9A"/>
    <w:rsid w:val="006D7451"/>
    <w:rsid w:val="006E3370"/>
    <w:rsid w:val="006E5864"/>
    <w:rsid w:val="006F2CEB"/>
    <w:rsid w:val="006F4020"/>
    <w:rsid w:val="00701C2F"/>
    <w:rsid w:val="00704E02"/>
    <w:rsid w:val="007102C6"/>
    <w:rsid w:val="00721691"/>
    <w:rsid w:val="00724AF6"/>
    <w:rsid w:val="0072560B"/>
    <w:rsid w:val="00733759"/>
    <w:rsid w:val="0076066F"/>
    <w:rsid w:val="007652A6"/>
    <w:rsid w:val="007732A1"/>
    <w:rsid w:val="007A62A5"/>
    <w:rsid w:val="007C0278"/>
    <w:rsid w:val="007C4F92"/>
    <w:rsid w:val="007C64A9"/>
    <w:rsid w:val="007C72A6"/>
    <w:rsid w:val="007D4E9F"/>
    <w:rsid w:val="007D67CD"/>
    <w:rsid w:val="007E1D41"/>
    <w:rsid w:val="007E5126"/>
    <w:rsid w:val="007F5225"/>
    <w:rsid w:val="007F6424"/>
    <w:rsid w:val="00803148"/>
    <w:rsid w:val="0080739C"/>
    <w:rsid w:val="00810999"/>
    <w:rsid w:val="00814208"/>
    <w:rsid w:val="00814B28"/>
    <w:rsid w:val="00826BE9"/>
    <w:rsid w:val="008342C6"/>
    <w:rsid w:val="008365C0"/>
    <w:rsid w:val="00836994"/>
    <w:rsid w:val="00840D6C"/>
    <w:rsid w:val="008558C0"/>
    <w:rsid w:val="0085651B"/>
    <w:rsid w:val="0087056D"/>
    <w:rsid w:val="00886615"/>
    <w:rsid w:val="00893E3F"/>
    <w:rsid w:val="008A0BEE"/>
    <w:rsid w:val="008A1A7E"/>
    <w:rsid w:val="008A66AE"/>
    <w:rsid w:val="008B5068"/>
    <w:rsid w:val="008B5205"/>
    <w:rsid w:val="008B787B"/>
    <w:rsid w:val="008C007E"/>
    <w:rsid w:val="008C3649"/>
    <w:rsid w:val="008C385E"/>
    <w:rsid w:val="008D4A31"/>
    <w:rsid w:val="008D4AF2"/>
    <w:rsid w:val="008E0576"/>
    <w:rsid w:val="008E12A1"/>
    <w:rsid w:val="008E22F1"/>
    <w:rsid w:val="008F705E"/>
    <w:rsid w:val="008F7AE3"/>
    <w:rsid w:val="00900557"/>
    <w:rsid w:val="00906B93"/>
    <w:rsid w:val="00912E87"/>
    <w:rsid w:val="00912F61"/>
    <w:rsid w:val="00915F1B"/>
    <w:rsid w:val="0092316D"/>
    <w:rsid w:val="00925C5A"/>
    <w:rsid w:val="009268A1"/>
    <w:rsid w:val="00926E82"/>
    <w:rsid w:val="0093464D"/>
    <w:rsid w:val="009353D6"/>
    <w:rsid w:val="00940B6C"/>
    <w:rsid w:val="00944F5A"/>
    <w:rsid w:val="00947BA4"/>
    <w:rsid w:val="009502A1"/>
    <w:rsid w:val="00953D61"/>
    <w:rsid w:val="00956A20"/>
    <w:rsid w:val="0097135A"/>
    <w:rsid w:val="0097634F"/>
    <w:rsid w:val="00983791"/>
    <w:rsid w:val="009850D4"/>
    <w:rsid w:val="0098544B"/>
    <w:rsid w:val="00986237"/>
    <w:rsid w:val="009868A2"/>
    <w:rsid w:val="009A6976"/>
    <w:rsid w:val="009B091C"/>
    <w:rsid w:val="009B22BC"/>
    <w:rsid w:val="009B47A2"/>
    <w:rsid w:val="009D39EC"/>
    <w:rsid w:val="009D5FE4"/>
    <w:rsid w:val="009E13D5"/>
    <w:rsid w:val="009E1C38"/>
    <w:rsid w:val="009E2DC9"/>
    <w:rsid w:val="009E4EB2"/>
    <w:rsid w:val="009F0633"/>
    <w:rsid w:val="00A078ED"/>
    <w:rsid w:val="00A15AAE"/>
    <w:rsid w:val="00A370A1"/>
    <w:rsid w:val="00A446F4"/>
    <w:rsid w:val="00A4778B"/>
    <w:rsid w:val="00A65C4A"/>
    <w:rsid w:val="00A715C4"/>
    <w:rsid w:val="00AA1DE8"/>
    <w:rsid w:val="00AA7B17"/>
    <w:rsid w:val="00AB0155"/>
    <w:rsid w:val="00AB0B59"/>
    <w:rsid w:val="00AB2576"/>
    <w:rsid w:val="00AB530F"/>
    <w:rsid w:val="00AB541D"/>
    <w:rsid w:val="00AC405B"/>
    <w:rsid w:val="00AC573A"/>
    <w:rsid w:val="00AD3AA7"/>
    <w:rsid w:val="00AE67B3"/>
    <w:rsid w:val="00AF6028"/>
    <w:rsid w:val="00AF6A2B"/>
    <w:rsid w:val="00B04DD0"/>
    <w:rsid w:val="00B07789"/>
    <w:rsid w:val="00B10C26"/>
    <w:rsid w:val="00B111C8"/>
    <w:rsid w:val="00B2233F"/>
    <w:rsid w:val="00B406A5"/>
    <w:rsid w:val="00B40E9D"/>
    <w:rsid w:val="00B46611"/>
    <w:rsid w:val="00B47DC0"/>
    <w:rsid w:val="00B52A7F"/>
    <w:rsid w:val="00B53F0C"/>
    <w:rsid w:val="00B63B9D"/>
    <w:rsid w:val="00B71204"/>
    <w:rsid w:val="00B721E7"/>
    <w:rsid w:val="00B75534"/>
    <w:rsid w:val="00B75B75"/>
    <w:rsid w:val="00B7629C"/>
    <w:rsid w:val="00B821B9"/>
    <w:rsid w:val="00B872C1"/>
    <w:rsid w:val="00B971EA"/>
    <w:rsid w:val="00BA20B7"/>
    <w:rsid w:val="00BB0386"/>
    <w:rsid w:val="00BB6216"/>
    <w:rsid w:val="00BC678C"/>
    <w:rsid w:val="00BC7E6E"/>
    <w:rsid w:val="00BF0063"/>
    <w:rsid w:val="00BF3A5E"/>
    <w:rsid w:val="00BF7C96"/>
    <w:rsid w:val="00C06FD0"/>
    <w:rsid w:val="00C12A0F"/>
    <w:rsid w:val="00C14E70"/>
    <w:rsid w:val="00C20C4F"/>
    <w:rsid w:val="00C27F66"/>
    <w:rsid w:val="00C36F8E"/>
    <w:rsid w:val="00C5604D"/>
    <w:rsid w:val="00C56BBF"/>
    <w:rsid w:val="00C5726F"/>
    <w:rsid w:val="00C61B0F"/>
    <w:rsid w:val="00C66371"/>
    <w:rsid w:val="00C67AB3"/>
    <w:rsid w:val="00C76E26"/>
    <w:rsid w:val="00C84142"/>
    <w:rsid w:val="00C901B5"/>
    <w:rsid w:val="00C91C2A"/>
    <w:rsid w:val="00C94BC3"/>
    <w:rsid w:val="00C94D89"/>
    <w:rsid w:val="00CB5DCD"/>
    <w:rsid w:val="00CC0AED"/>
    <w:rsid w:val="00CC4069"/>
    <w:rsid w:val="00CD719F"/>
    <w:rsid w:val="00CE3FF5"/>
    <w:rsid w:val="00CF22F4"/>
    <w:rsid w:val="00CF3607"/>
    <w:rsid w:val="00CF48E6"/>
    <w:rsid w:val="00CF7364"/>
    <w:rsid w:val="00D034D8"/>
    <w:rsid w:val="00D04880"/>
    <w:rsid w:val="00D0533D"/>
    <w:rsid w:val="00D05ADE"/>
    <w:rsid w:val="00D07640"/>
    <w:rsid w:val="00D12627"/>
    <w:rsid w:val="00D13EAD"/>
    <w:rsid w:val="00D23641"/>
    <w:rsid w:val="00D23D73"/>
    <w:rsid w:val="00D30CF0"/>
    <w:rsid w:val="00D33297"/>
    <w:rsid w:val="00D40203"/>
    <w:rsid w:val="00D52BB5"/>
    <w:rsid w:val="00D5574C"/>
    <w:rsid w:val="00D57116"/>
    <w:rsid w:val="00D74EB8"/>
    <w:rsid w:val="00D8189F"/>
    <w:rsid w:val="00D86DAE"/>
    <w:rsid w:val="00D907DF"/>
    <w:rsid w:val="00D911BE"/>
    <w:rsid w:val="00D93431"/>
    <w:rsid w:val="00D9655D"/>
    <w:rsid w:val="00D96C23"/>
    <w:rsid w:val="00D976F3"/>
    <w:rsid w:val="00DA1836"/>
    <w:rsid w:val="00DA2B0E"/>
    <w:rsid w:val="00DA342A"/>
    <w:rsid w:val="00DA4E2E"/>
    <w:rsid w:val="00DA7CF1"/>
    <w:rsid w:val="00DB3EFF"/>
    <w:rsid w:val="00DC0328"/>
    <w:rsid w:val="00DD2343"/>
    <w:rsid w:val="00DE6973"/>
    <w:rsid w:val="00DF4508"/>
    <w:rsid w:val="00DF5B9A"/>
    <w:rsid w:val="00E050CC"/>
    <w:rsid w:val="00E070C6"/>
    <w:rsid w:val="00E117BA"/>
    <w:rsid w:val="00E22EF3"/>
    <w:rsid w:val="00E4096E"/>
    <w:rsid w:val="00E45105"/>
    <w:rsid w:val="00E50E2C"/>
    <w:rsid w:val="00E56B0C"/>
    <w:rsid w:val="00E76722"/>
    <w:rsid w:val="00E80B10"/>
    <w:rsid w:val="00E82E74"/>
    <w:rsid w:val="00E86D3F"/>
    <w:rsid w:val="00E9432F"/>
    <w:rsid w:val="00EA4CCA"/>
    <w:rsid w:val="00EA68E8"/>
    <w:rsid w:val="00EA6B21"/>
    <w:rsid w:val="00EB2CFA"/>
    <w:rsid w:val="00EB6823"/>
    <w:rsid w:val="00EB728A"/>
    <w:rsid w:val="00EC2C20"/>
    <w:rsid w:val="00EC5866"/>
    <w:rsid w:val="00F005BE"/>
    <w:rsid w:val="00F04979"/>
    <w:rsid w:val="00F20200"/>
    <w:rsid w:val="00F235CA"/>
    <w:rsid w:val="00F31329"/>
    <w:rsid w:val="00F41632"/>
    <w:rsid w:val="00F47EC8"/>
    <w:rsid w:val="00F50E15"/>
    <w:rsid w:val="00F53E19"/>
    <w:rsid w:val="00F7012F"/>
    <w:rsid w:val="00F757A2"/>
    <w:rsid w:val="00F8588F"/>
    <w:rsid w:val="00F86536"/>
    <w:rsid w:val="00F95E0C"/>
    <w:rsid w:val="00FA47EF"/>
    <w:rsid w:val="00FA4CE8"/>
    <w:rsid w:val="00FA6637"/>
    <w:rsid w:val="00FB0AC4"/>
    <w:rsid w:val="00FB6C0A"/>
    <w:rsid w:val="00FC2304"/>
    <w:rsid w:val="00FC4693"/>
    <w:rsid w:val="00FC5B62"/>
    <w:rsid w:val="00FD5E23"/>
    <w:rsid w:val="00FE17DF"/>
    <w:rsid w:val="00FF5C91"/>
    <w:rsid w:val="00FF7012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2C853"/>
  <w15:docId w15:val="{2D2EADCD-B022-412A-AC81-39AD5E08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3F"/>
    <w:pPr>
      <w:spacing w:after="0" w:line="240" w:lineRule="auto"/>
    </w:pPr>
    <w:rPr>
      <w:rFonts w:ascii="EYInterstate" w:eastAsia="Times New Roman" w:hAnsi="EYInterstate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E86D3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86D3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6D3F"/>
    <w:rPr>
      <w:rFonts w:ascii="EYInterstate" w:eastAsia="Times New Roman" w:hAnsi="EYInterstate" w:cs="Times New Roman"/>
      <w:sz w:val="20"/>
      <w:szCs w:val="20"/>
    </w:rPr>
  </w:style>
  <w:style w:type="paragraph" w:customStyle="1" w:styleId="Default">
    <w:name w:val="Default"/>
    <w:rsid w:val="00E86D3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3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D3F"/>
    <w:pPr>
      <w:ind w:left="720"/>
      <w:contextualSpacing/>
    </w:pPr>
    <w:rPr>
      <w:rFonts w:ascii="Times New Roman" w:hAnsi="Times New Roman"/>
      <w:sz w:val="24"/>
    </w:rPr>
  </w:style>
  <w:style w:type="paragraph" w:customStyle="1" w:styleId="Bulletcopy">
    <w:name w:val="Bullet copy"/>
    <w:basedOn w:val="Normal"/>
    <w:rsid w:val="00E86D3F"/>
    <w:pPr>
      <w:spacing w:line="240" w:lineRule="atLeast"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E86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D3F"/>
    <w:rPr>
      <w:rFonts w:ascii="EYInterstate" w:eastAsia="Times New Roman" w:hAnsi="EYInterstate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E86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D3F"/>
    <w:rPr>
      <w:rFonts w:ascii="EYInterstate" w:eastAsia="Times New Roman" w:hAnsi="EYInterstate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C6A"/>
    <w:rPr>
      <w:rFonts w:ascii="EYInterstate" w:eastAsia="Times New Roman" w:hAnsi="EYInterstate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75F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17A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7AD"/>
    <w:rPr>
      <w:rFonts w:ascii="EYInterstate" w:eastAsia="Times New Roman" w:hAnsi="EYInterstate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7AD"/>
    <w:rPr>
      <w:vertAlign w:val="superscript"/>
    </w:rPr>
  </w:style>
  <w:style w:type="paragraph" w:styleId="BodyText">
    <w:name w:val="Body Text"/>
    <w:basedOn w:val="Normal"/>
    <w:link w:val="BodyTextChar"/>
    <w:rsid w:val="00814208"/>
    <w:pPr>
      <w:spacing w:before="130" w:after="130" w:line="260" w:lineRule="atLeast"/>
    </w:pPr>
    <w:rPr>
      <w:rFonts w:ascii="Times New Roman" w:hAnsi="Times New Roman"/>
      <w:sz w:val="22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14208"/>
    <w:rPr>
      <w:rFonts w:ascii="Times New Roman" w:eastAsia="Times New Roman" w:hAnsi="Times New Roman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262">
          <w:marLeft w:val="0"/>
          <w:marRight w:val="0"/>
          <w:marTop w:val="180"/>
          <w:marBottom w:val="225"/>
          <w:divBdr>
            <w:top w:val="single" w:sz="6" w:space="0" w:color="F4EFDD"/>
            <w:left w:val="single" w:sz="6" w:space="0" w:color="F4EFDD"/>
            <w:bottom w:val="single" w:sz="6" w:space="0" w:color="F4EFDD"/>
            <w:right w:val="single" w:sz="6" w:space="0" w:color="F4EFDD"/>
          </w:divBdr>
          <w:divsChild>
            <w:div w:id="1981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341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F4EFDD"/>
                    <w:bottom w:val="single" w:sz="6" w:space="6" w:color="F4EFDD"/>
                    <w:right w:val="single" w:sz="6" w:space="6" w:color="F4EFDD"/>
                  </w:divBdr>
                  <w:divsChild>
                    <w:div w:id="11972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065">
                          <w:marLeft w:val="120"/>
                          <w:marRight w:val="0"/>
                          <w:marTop w:val="0"/>
                          <w:marBottom w:val="150"/>
                          <w:divBdr>
                            <w:top w:val="single" w:sz="6" w:space="11" w:color="CFCECB"/>
                            <w:left w:val="single" w:sz="6" w:space="11" w:color="CFCECB"/>
                            <w:bottom w:val="single" w:sz="6" w:space="11" w:color="CFCECB"/>
                            <w:right w:val="single" w:sz="6" w:space="11" w:color="CFCECB"/>
                          </w:divBdr>
                          <w:divsChild>
                            <w:div w:id="4357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9942">
          <w:marLeft w:val="0"/>
          <w:marRight w:val="0"/>
          <w:marTop w:val="180"/>
          <w:marBottom w:val="225"/>
          <w:divBdr>
            <w:top w:val="single" w:sz="6" w:space="0" w:color="F4EFDD"/>
            <w:left w:val="single" w:sz="6" w:space="0" w:color="F4EFDD"/>
            <w:bottom w:val="single" w:sz="6" w:space="0" w:color="F4EFDD"/>
            <w:right w:val="single" w:sz="6" w:space="0" w:color="F4EFDD"/>
          </w:divBdr>
          <w:divsChild>
            <w:div w:id="343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418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F4EFDD"/>
                    <w:bottom w:val="single" w:sz="6" w:space="6" w:color="F4EFDD"/>
                    <w:right w:val="single" w:sz="6" w:space="6" w:color="F4EFDD"/>
                  </w:divBdr>
                  <w:divsChild>
                    <w:div w:id="5152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4949">
                          <w:marLeft w:val="120"/>
                          <w:marRight w:val="0"/>
                          <w:marTop w:val="0"/>
                          <w:marBottom w:val="150"/>
                          <w:divBdr>
                            <w:top w:val="single" w:sz="6" w:space="11" w:color="CFCECB"/>
                            <w:left w:val="single" w:sz="6" w:space="11" w:color="CFCECB"/>
                            <w:bottom w:val="single" w:sz="6" w:space="11" w:color="CFCECB"/>
                            <w:right w:val="single" w:sz="6" w:space="11" w:color="CFCECB"/>
                          </w:divBdr>
                          <w:divsChild>
                            <w:div w:id="3631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6D002-FB00-4A63-B110-6BE90D6A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vsharma1</dc:creator>
  <cp:lastModifiedBy>Lenovo</cp:lastModifiedBy>
  <cp:revision>3</cp:revision>
  <cp:lastPrinted>2017-04-18T11:42:00Z</cp:lastPrinted>
  <dcterms:created xsi:type="dcterms:W3CDTF">2024-02-25T14:24:00Z</dcterms:created>
  <dcterms:modified xsi:type="dcterms:W3CDTF">2024-02-25T14:27:00Z</dcterms:modified>
</cp:coreProperties>
</file>