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71310"/>
        </w:rPr>
        <w:t>Killer of Men — FilmFreeway page, draft v5</w:t>
      </w:r>
    </w:p>
    <w:p>
      <w:pPr>
        <w:spacing w:after="160" w:line="300" w:lineRule="auto"/>
      </w:pPr>
      <w:r>
        <w:rPr>
          <w:i/>
          <w:sz w:val="20"/>
        </w:rPr>
        <w:t xml:space="preserve">September 8, 2026. v5: the logline is locked. It is rewritten in full, so all of it is in red; the v4 logline is quoted beneath it. Bio and statement unchanged from v4. For Jordan’s approval. Items in [brackets] are his to confirm or write.</w:t>
      </w:r>
    </w:p>
    <w:p>
      <w:pPr>
        <w:pStyle w:val="Heading2"/>
      </w:pPr>
      <w:r>
        <w:rPr>
          <w:rFonts w:ascii="Arial" w:hAnsi="Arial"/>
          <w:color w:val="171310"/>
        </w:rPr>
        <w:t>Logline</w:t>
      </w:r>
    </w:p>
    <w:p>
      <w:pPr>
        <w:spacing w:after="160" w:line="300" w:lineRule="auto"/>
      </w:pPr>
      <w:r>
        <w:rPr>
          <w:i w:val="0"/>
          <w:color w:val="C01E1E"/>
          <w:sz w:val="22"/>
        </w:rPr>
        <w:t xml:space="preserve">In 1834 South Carolina, an enslaved man is forced to fight for spectacle. But with every victory, he must take the life of one of his own. He stumbles upon the burial ceremony of his fallen opponent, and finds it being held in the ancient Faith of their shared ancestors, who he must now face to decide whether he will kill again.</w:t>
      </w:r>
    </w:p>
    <w:p>
      <w:pPr>
        <w:spacing w:after="160" w:line="300" w:lineRule="auto"/>
      </w:pPr>
      <w:r>
        <w:rPr>
          <w:i/>
          <w:sz w:val="18"/>
        </w:rPr>
        <w:t xml:space="preserve">v4 read: “A South Carolina plantation, 1830. An enslaved man forced into a world of underground prizefighting stumbles upon his fallen opponent's burial ceremony after a brutal fight to the death. The encounter ignites a reckoning with his ancestral roots, guilt, faith and the violence that has shaped his life and identity.”</w:t>
      </w:r>
    </w:p>
    <w:p>
      <w:pPr>
        <w:pStyle w:val="Heading2"/>
      </w:pPr>
      <w:r>
        <w:rPr>
          <w:rFonts w:ascii="Arial" w:hAnsi="Arial"/>
          <w:color w:val="171310"/>
        </w:rPr>
        <w:t>Director biography</w:t>
      </w:r>
    </w:p>
    <w:p>
      <w:pPr>
        <w:spacing w:after="160" w:line="300" w:lineRule="auto"/>
      </w:pPr>
      <w:r>
        <w:rPr>
          <w:i w:val="0"/>
          <w:sz w:val="22"/>
        </w:rPr>
        <w:t>Jordan Betine [earned / is completing] his MFA in Directing at the American Film Institute. A Nigerian-American filmmaker raised between Lagos, Nigeria, and Ashburn, Virginia, he holds a film degree from Howard University. [He grew up hyper-aware of how a Black man's presence is read in a room; he directs to put that awareness on screen, telling difficult stories that honor his ancestors and his culture.] His work explores power, identity, and the African diaspora.</w:t>
      </w:r>
    </w:p>
    <w:p>
      <w:pPr>
        <w:pStyle w:val="Heading2"/>
      </w:pPr>
      <w:r>
        <w:rPr>
          <w:rFonts w:ascii="Arial" w:hAnsi="Arial"/>
          <w:color w:val="171310"/>
        </w:rPr>
        <w:t>Director statement</w:t>
      </w:r>
    </w:p>
    <w:p>
      <w:pPr>
        <w:spacing w:after="160" w:line="300" w:lineRule="auto"/>
      </w:pPr>
      <w:r>
        <w:rPr>
          <w:i w:val="0"/>
          <w:sz w:val="22"/>
        </w:rPr>
        <w:t>Growing up, I was always one of the youngest in my year, but my height made me one of the tallest in the class, and often the biggest in the room. As I got older, I started noticing how my mere presence was read as either a point of praise or persecution. My physicality, tied so closely to my skin, made me seem more menacing, more dangerous than the other boys, even those bigger and stronger than I was. It's never anything overt, but small, incessant microaggressions. Death by a million needles. These interactions have shaped me throughout my life, leaving me hyper-aware of myself in spaces, even in this country I call home. This experience, this reality, is the plight of all Black men in America.</w:t>
      </w:r>
    </w:p>
    <w:p>
      <w:pPr>
        <w:spacing w:after="160" w:line="300" w:lineRule="auto"/>
      </w:pPr>
      <w:r>
        <w:rPr>
          <w:i w:val="0"/>
          <w:sz w:val="22"/>
        </w:rPr>
        <w:t>Killer of Men is an expression of pain: absolute brutality and suffering. But it's also a story of resilience, culture, and spirituality. This story has kept me awake at night, terrified of what I'm putting on the screen.</w:t>
      </w:r>
    </w:p>
    <w:p>
      <w:pPr>
        <w:spacing w:after="160" w:line="300" w:lineRule="auto"/>
      </w:pPr>
      <w:r>
        <w:rPr>
          <w:i w:val="0"/>
          <w:sz w:val="22"/>
        </w:rPr>
        <w:t>The concept of Mandingo fighting has always fascinated me. It's a strange, bastardized idea in media and literature. To me, it represents many things: the commercialization of sports and entertainment, the myth of Black-on-Black crime, the portrayal of savagery in history and in the media. It has always been used to showcase the animalistic Black brute. Rarely, if ever, has an audience been invited into the subjective perspective of the fighters themselves. What are their lives like? What do they hold dear? What keeps a man going when he's put in a situation like that?</w:t>
      </w:r>
    </w:p>
    <w:p>
      <w:pPr>
        <w:spacing w:after="160" w:line="300" w:lineRule="auto"/>
      </w:pPr>
      <w:r>
        <w:rPr>
          <w:i w:val="0"/>
          <w:sz w:val="22"/>
        </w:rPr>
        <w:t>Setting this film during the period of American slavery, rather than in the present day or during the 1960s, allows me to examine the deep-seated historical roots of this aggression. Visually, I wanted the fight scenes to reflect the physical sports Black men often participate in, body slams, boxing, football tackles, to illustrate history repeating itself through various forms of expression. Early 1800s America also gave me the chance to explore my own heritage. With American chattel slavery at its peak and the transatlantic trade still bringing enslaved people ashore every year, we can examine themes we still recognize today as they were in the darkest hour of African Americans.</w:t>
      </w:r>
    </w:p>
    <w:p>
      <w:pPr>
        <w:spacing w:after="160" w:line="300" w:lineRule="auto"/>
      </w:pPr>
      <w:r>
        <w:rPr>
          <w:i w:val="0"/>
          <w:sz w:val="22"/>
        </w:rPr>
        <w:t>A critical piece of this film is the spirituality of the enslaved at the time: their mix of cultures, beliefs and religions that slowly formed what we now recognize as Black culture. Killer of Men has been a grueling process, one that's forced me to question a lot of myself as a man and as a storyteller. This is my Oriki, my folktale, my poem. I won't shy away from telling difficult stories or giving a voice to the voiceless. I will honor my ancestors and my culture in everything I do.</w:t>
      </w:r>
    </w:p>
    <w:p>
      <w:pPr>
        <w:pStyle w:val="Heading2"/>
      </w:pPr>
      <w:r>
        <w:rPr>
          <w:rFonts w:ascii="Arial" w:hAnsi="Arial"/>
          <w:color w:val="171310"/>
        </w:rPr>
        <w:t>Elsewhere on the page</w:t>
      </w:r>
    </w:p>
    <w:tbl>
      <w:tblPr>
        <w:tblStyle w:val="LightGrid-Accent1"/>
        <w:tblW w:type="auto" w:w="0"/>
        <w:tblLook w:firstColumn="1" w:firstRow="1" w:lastColumn="0" w:lastRow="0" w:noHBand="0" w:noVBand="1" w:val="04A0"/>
      </w:tblPr>
      <w:tblGrid>
        <w:gridCol w:w="4680"/>
        <w:gridCol w:w="4680"/>
      </w:tblGrid>
      <w:tr>
        <w:tc>
          <w:tcPr>
            <w:tcW w:type="dxa" w:w="2448"/>
          </w:tcPr>
          <w:p>
            <w:r>
              <w:rPr>
                <w:rFonts w:ascii="Arial" w:hAnsi="Arial"/>
                <w:sz w:val="20"/>
              </w:rPr>
              <w:t>Field</w:t>
            </w:r>
          </w:p>
        </w:tc>
        <w:tc>
          <w:tcPr>
            <w:tcW w:type="dxa" w:w="6912"/>
          </w:tcPr>
          <w:p>
            <w:r>
              <w:rPr>
                <w:rFonts w:ascii="Arial" w:hAnsi="Arial"/>
                <w:sz w:val="20"/>
              </w:rPr>
              <w:t>Change</w:t>
            </w:r>
          </w:p>
        </w:tc>
      </w:tr>
      <w:tr>
        <w:tc>
          <w:tcPr>
            <w:tcW w:type="dxa" w:w="2448"/>
          </w:tcPr>
          <w:p>
            <w:r>
              <w:rPr>
                <w:rFonts w:ascii="Arial" w:hAnsi="Arial"/>
                <w:sz w:val="20"/>
              </w:rPr>
              <w:t>Categories</w:t>
            </w:r>
          </w:p>
        </w:tc>
        <w:tc>
          <w:tcPr>
            <w:tcW w:type="dxa" w:w="6912"/>
          </w:tcPr>
          <w:p>
            <w:r>
              <w:rPr>
                <w:rFonts w:ascii="Arial" w:hAnsi="Arial"/>
                <w:sz w:val="20"/>
              </w:rPr>
              <w:t>Remove "experimental"</w:t>
            </w:r>
          </w:p>
        </w:tc>
      </w:tr>
      <w:tr>
        <w:tc>
          <w:tcPr>
            <w:tcW w:type="dxa" w:w="2448"/>
          </w:tcPr>
          <w:p>
            <w:r>
              <w:rPr>
                <w:rFonts w:ascii="Arial" w:hAnsi="Arial"/>
                <w:sz w:val="20"/>
              </w:rPr>
              <w:t>Credits</w:t>
            </w:r>
          </w:p>
        </w:tc>
        <w:tc>
          <w:tcPr>
            <w:tcW w:type="dxa" w:w="6912"/>
          </w:tcPr>
          <w:p>
            <w:r>
              <w:rPr>
                <w:rFonts w:ascii="Arial" w:hAnsi="Arial"/>
                <w:sz w:val="20"/>
              </w:rPr>
              <w:t>Leads; the slave owner; the final opponent; composer; sound designer; recognisable post names, from the end credits</w:t>
            </w:r>
          </w:p>
        </w:tc>
      </w:tr>
      <w:tr>
        <w:tc>
          <w:tcPr>
            <w:tcW w:type="dxa" w:w="2448"/>
          </w:tcPr>
          <w:p>
            <w:r>
              <w:rPr>
                <w:rFonts w:ascii="Arial" w:hAnsi="Arial"/>
                <w:sz w:val="20"/>
              </w:rPr>
              <w:t>Stills</w:t>
            </w:r>
          </w:p>
        </w:tc>
        <w:tc>
          <w:tcPr>
            <w:tcW w:type="dxa" w:w="6912"/>
          </w:tcPr>
          <w:p>
            <w:r>
              <w:rPr>
                <w:rFonts w:ascii="Arial" w:hAnsi="Arial"/>
                <w:sz w:val="20"/>
              </w:rPr>
              <w:t>Remove one of the two similar bottom images and the group photo; add the surreal sequence, the opening, a colour frame from the ending; replace #6</w:t>
            </w:r>
          </w:p>
        </w:tc>
      </w:tr>
      <w:tr>
        <w:tc>
          <w:tcPr>
            <w:tcW w:type="dxa" w:w="2448"/>
          </w:tcPr>
          <w:p>
            <w:r>
              <w:rPr>
                <w:rFonts w:ascii="Arial" w:hAnsi="Arial"/>
                <w:sz w:val="20"/>
              </w:rPr>
              <w:t>Attachments</w:t>
            </w:r>
          </w:p>
        </w:tc>
        <w:tc>
          <w:tcPr>
            <w:tcW w:type="dxa" w:w="6912"/>
          </w:tcPr>
          <w:p>
            <w:r>
              <w:rPr>
                <w:rFonts w:ascii="Arial" w:hAnsi="Arial"/>
                <w:sz w:val="20"/>
              </w:rPr>
              <w:t>Remove the two ABFF/HBO forms; add the student ID with the number redacted, and the EPK when built</w:t>
            </w:r>
          </w:p>
        </w:tc>
      </w:tr>
      <w:tr>
        <w:tc>
          <w:tcPr>
            <w:tcW w:type="dxa" w:w="2448"/>
          </w:tcPr>
          <w:p>
            <w:r>
              <w:rPr>
                <w:rFonts w:ascii="Arial" w:hAnsi="Arial"/>
                <w:sz w:val="20"/>
              </w:rPr>
              <w:t>Screenings &amp; awards</w:t>
            </w:r>
          </w:p>
        </w:tc>
        <w:tc>
          <w:tcPr>
            <w:tcW w:type="dxa" w:w="6912"/>
          </w:tcPr>
          <w:p>
            <w:r>
              <w:rPr>
                <w:rFonts w:ascii="Arial" w:hAnsi="Arial"/>
                <w:sz w:val="20"/>
              </w:rPr>
              <w:t>ABFF 2026 · Martha's Vineyard African American FF 2026 · SCAD Savannah 2026</w:t>
            </w:r>
          </w:p>
        </w:tc>
      </w:tr>
      <w:tr>
        <w:tc>
          <w:tcPr>
            <w:tcW w:type="dxa" w:w="2448"/>
          </w:tcPr>
          <w:p>
            <w:r>
              <w:rPr>
                <w:rFonts w:ascii="Arial" w:hAnsi="Arial"/>
                <w:sz w:val="20"/>
              </w:rPr>
              <w:t>Completion date</w:t>
            </w:r>
          </w:p>
        </w:tc>
        <w:tc>
          <w:tcPr>
            <w:tcW w:type="dxa" w:w="6912"/>
          </w:tcPr>
          <w:p>
            <w:r>
              <w:rPr>
                <w:rFonts w:ascii="Arial" w:hAnsi="Arial"/>
                <w:sz w:val="20"/>
              </w:rPr>
              <w:t>A 2026 date before April 24, 2026; DCP regenerated to match</w:t>
            </w:r>
          </w:p>
        </w:tc>
      </w:tr>
      <w:tr>
        <w:tc>
          <w:tcPr>
            <w:tcW w:type="dxa" w:w="2448"/>
          </w:tcPr>
          <w:p>
            <w:r>
              <w:rPr>
                <w:rFonts w:ascii="Arial" w:hAnsi="Arial"/>
                <w:sz w:val="20"/>
              </w:rPr>
              <w:t>First-time filmmaker</w:t>
            </w:r>
          </w:p>
        </w:tc>
        <w:tc>
          <w:tcPr>
            <w:tcW w:type="dxa" w:w="6912"/>
          </w:tcPr>
          <w:p>
            <w:r>
              <w:rPr>
                <w:rFonts w:ascii="Arial" w:hAnsi="Arial"/>
                <w:sz w:val="20"/>
              </w:rPr>
              <w:t>Jordan's call; it contradicts the bio</w:t>
            </w:r>
          </w:p>
        </w:tc>
      </w:tr>
      <w:tr>
        <w:tc>
          <w:tcPr>
            <w:tcW w:type="dxa" w:w="2448"/>
          </w:tcPr>
          <w:p>
            <w:r>
              <w:rPr>
                <w:rFonts w:ascii="Arial" w:hAnsi="Arial"/>
                <w:sz w:val="20"/>
              </w:rPr>
              <w:t>Website, Instagram</w:t>
            </w:r>
          </w:p>
        </w:tc>
        <w:tc>
          <w:tcPr>
            <w:tcW w:type="dxa" w:w="6912"/>
          </w:tcPr>
          <w:p>
            <w:r>
              <w:rPr>
                <w:rFonts w:ascii="Arial" w:hAnsi="Arial"/>
                <w:sz w:val="20"/>
              </w:rPr>
              <w:t>Verify the Instagram target; decide on the site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