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Obstructive Sleep Apnea on In-Hospital Outcomes in Patients with Renal Failure</w:t>
      </w:r>
    </w:p>
    <w:p>
      <w:pPr>
        <w:pStyle w:val="Subtitle"/>
      </w:pPr>
      <w:r>
        <w:t xml:space="preserve">National Inpatient Sample Analysis (2018–2020)</w:t>
      </w:r>
    </w:p>
    <w:p>
      <w:pPr>
        <w:pStyle w:val="Author"/>
      </w:pPr>
      <w:r>
        <w:t xml:space="preserve">Yamna Waseem</w:t>
      </w:r>
    </w:p>
    <w:p>
      <w:pPr>
        <w:pStyle w:val="Author"/>
      </w:pPr>
      <w:r>
        <w:t xml:space="preserve">Ali Salman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obstructive sleep apnea (OSA) and in-hospital outcomes in patients admitted with a diagnosis of renal failure across U.S. hospitals from 2018 to 2020, adjusting for demographic, clinical, and hospital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2020, a nationwide database that captures inpatient admissions in the U.S., and is weighted to provide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renal failure, identified using ICD-10-CM codes N18.5xx (Stage 5 CKD) and N18.6xx (ESRD). Patients were categorized based on the presence or absence of obstructive sleep apnea, identified using ICD-10-CM code G47.33.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2"/>
          <w:numId w:val="1003"/>
        </w:numPr>
      </w:pPr>
      <w:r>
        <w:t xml:space="preserve">In-hospital all-cause mortality</w:t>
      </w:r>
    </w:p>
    <w:p>
      <w:pPr>
        <w:numPr>
          <w:ilvl w:val="2"/>
          <w:numId w:val="1003"/>
        </w:numPr>
      </w:pPr>
      <w:r>
        <w:t xml:space="preserve">Total hospital length of stay (days)</w:t>
      </w:r>
    </w:p>
    <w:p>
      <w:pPr>
        <w:numPr>
          <w:ilvl w:val="2"/>
          <w:numId w:val="1003"/>
        </w:numPr>
      </w:pPr>
      <w:r>
        <w:t xml:space="preserve">Total charge, inflation adjusted to 2020 ($)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Secondary Outcomes:</w:t>
      </w:r>
    </w:p>
    <w:p>
      <w:pPr>
        <w:numPr>
          <w:ilvl w:val="2"/>
          <w:numId w:val="1004"/>
        </w:numPr>
      </w:pPr>
      <w:r>
        <w:t xml:space="preserve">Cardiac arrest</w:t>
      </w:r>
    </w:p>
    <w:p>
      <w:pPr>
        <w:numPr>
          <w:ilvl w:val="2"/>
          <w:numId w:val="1004"/>
        </w:numPr>
      </w:pPr>
      <w:r>
        <w:t xml:space="preserve">Gastrointestinal hemorrhage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Adjustment Variables: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Demographics and Socioeconomic Factors:</w:t>
      </w:r>
      <w:r>
        <w:t xml:space="preserve"> </w:t>
      </w:r>
      <w:r>
        <w:t xml:space="preserve">Age, sex, race, residential income quartile.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Region, bed size, and teaching status.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Kidney transplant history, coronary artery disease, cerebrovascular disease, chronic obstructive pulmonary disease, diabetes mellitus, heart failure, hypertension, obesity, and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Continuous Outcomes:</w:t>
      </w:r>
      <w:r>
        <w:t xml:space="preserve"> </w:t>
      </w:r>
      <w:r>
        <w:t xml:space="preserve">Design-based Kruskal-Wallis test for outcomes such as length of stay and total charges.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Categorical Outcomes:</w:t>
      </w:r>
      <w:r>
        <w:t xml:space="preserve"> </w:t>
      </w:r>
      <w:r>
        <w:t xml:space="preserve">Rao &amp; Scott-adjusted Pearson’s Chi-square test for outcomes like in-hospital mortality, gastrointestinal bleeding, and cardiac arrest.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Logistic Regression:</w:t>
      </w:r>
      <w:r>
        <w:t xml:space="preserve"> </w:t>
      </w:r>
      <w:r>
        <w:t xml:space="preserve">For binary outcomes (e.g., in-hospital mortality, gastrointestinal bleeding, cardiac arrest). Report adjusted odds ratios (ORs) with 95% confidence intervals (CIs).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Linear Regression:</w:t>
      </w:r>
      <w:r>
        <w:t xml:space="preserve"> </w:t>
      </w:r>
      <w:r>
        <w:t xml:space="preserve">For continuous outcomes (e.g., length of stay, total charges). Report adjusted beta coefficients with 95% CIs.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Model Adjustment:</w:t>
      </w:r>
      <w:r>
        <w:t xml:space="preserve"> </w:t>
      </w:r>
      <w:r>
        <w:t xml:space="preserve">All models adjusted for the demographic, clinical, and hospital factors listed above, as well as OSA status (yes/no).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Survey Weights:</w:t>
      </w:r>
      <w:r>
        <w:t xml:space="preserve"> </w:t>
      </w:r>
      <w:r>
        <w:t xml:space="preserve">The NIS survey design and discharge weights were applied to account for the complex sampling methodology and ensure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4.4.1; R Foundation for Statistical Computing, Vienna, Austria), utilizing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complex sampling designs of the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3,385,755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3,022,900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362,855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1,537,500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1,397,280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140,220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1,848,165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1,625,530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222,635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1,380,020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1,196,370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183,650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138,215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128,165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1,105,220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989,245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115,975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558,465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522,820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141,300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131,705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1,297,295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1,171,690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125,605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858,270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762,255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692,500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612,270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80,230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482,110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425,735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429,845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402,960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26,885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2,471,650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2,186,840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284,810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104,920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367,220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325,285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673,010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564,770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555,475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1,475,535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1,333,720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141,815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681,735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620,570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1,776,065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1,576,025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200,040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985,185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885,455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624,505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561,420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63,085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174,185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155,975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602,090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546,315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2,609,480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2,320,610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288,870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71,600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1,442,975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1,250,625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301,515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272,070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821,050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680,090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140,960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2,169,300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1,901,405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267,895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1,704,180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1,475,125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32,890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3,212,090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2,863,345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348,745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617,580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457,975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159,605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3,385,755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3,022,900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362,855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182,145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167,595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80,210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73,245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284,705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254,620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30,085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51,600 (27,248, 104,284)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51,542 (27,132, 104,617)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52,011 (28,186, 101,495)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cardiac-arrest"/>
    <w:p>
      <w:pPr>
        <w:pStyle w:val="Heading3"/>
      </w:pPr>
      <w:r>
        <w:t xml:space="preserve">Cardiac Arrest: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gastrointestinal-hemorrhage"/>
    <w:p>
      <w:pPr>
        <w:pStyle w:val="Heading3"/>
      </w:pPr>
      <w:r>
        <w:t xml:space="preserve">Gastrointestinal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-3.3, 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-11,494, -8,782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-155, -77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5,326, 7,034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2,171, 10,728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-6,397, -2,921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3,445, 9,081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4,304, 13,066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-414, 3,045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744, 4,932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8,317, 14,827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-2,910, 1,848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-3,134, 4,032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18,690, 26,387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25,131, 36,097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16,792, 23,436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42,061, 55,404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-23,996, -16,330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-35,856, -27,791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31,182, 37,884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48,226, 54,924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-19,124, -13,450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-512, 1,793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22,585, 26,886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-15,503, -12,655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-26,808, -22,608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5,245, 8,078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-53,281, -40,258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-37,868, -28,533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11,429, 14,087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7,567, 8,850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Obstructive Sleep Apnea on In-Hospital Outcomes in Patients with Renal Failure</dc:title>
  <dc:creator>Yamna Waseem; Ali Salman</dc:creator>
  <cp:keywords/>
  <dcterms:created xsi:type="dcterms:W3CDTF">2024-12-03T19:18:36Z</dcterms:created>
  <dcterms:modified xsi:type="dcterms:W3CDTF">2024-12-03T19:18:36Z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National Inpatient Sample Analysis (2018–2020)</vt:lpwstr>
  </property>
  <property fmtid="{D5CDD505-2E9C-101B-9397-08002B2CF9AE}" pid="12" name="toc-title">
    <vt:lpwstr>Table of contents</vt:lpwstr>
  </property>
</Properties>
</file>