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Obstructive Sleep Apnea on In-Hospital Outcomes in Patients with Renal Failure</w:t>
      </w:r>
    </w:p>
    <w:p>
      <w:pPr>
        <w:pStyle w:val="Subtitle"/>
      </w:pPr>
      <w:r>
        <w:t xml:space="preserve">National Inpatient Sample Analysis (2018–2020)</w:t>
      </w:r>
    </w:p>
    <w:p>
      <w:pPr>
        <w:pStyle w:val="Author"/>
      </w:pPr>
      <w:r>
        <w:t xml:space="preserve">Yamna Waseem</w:t>
      </w:r>
    </w:p>
    <w:p>
      <w:pPr>
        <w:pStyle w:val="Author"/>
      </w:pPr>
      <w:r>
        <w:t xml:space="preserve">Ali Salman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Investigate the association between obstructive sleep apnea (OSA) and in-hospital outcomes in patients admitted with a diagnosis of renal failure across U.S. hospitals from 2018 to 2020, adjusting for demographic, clinical, and hospital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from 2018 to 2020, a nationwide database that captures inpatient admissions in the U.S., and is weighted to provide nationally representative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diagnosis of renal failure, identified using ICD-10-CM codes N18.5xx (Stage 5 CKD) and N18.6xx (ESRD). Patients were categorized based on the presence or absence of obstructive sleep apnea, identified using ICD-10-CM code G47.33.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2"/>
          <w:numId w:val="1003"/>
        </w:numPr>
      </w:pPr>
      <w:r>
        <w:t xml:space="preserve">In-hospital all-cause mortality</w:t>
      </w:r>
    </w:p>
    <w:p>
      <w:pPr>
        <w:numPr>
          <w:ilvl w:val="2"/>
          <w:numId w:val="1003"/>
        </w:numPr>
      </w:pPr>
      <w:r>
        <w:t xml:space="preserve">Total hospital length of stay (days)</w:t>
      </w:r>
    </w:p>
    <w:p>
      <w:pPr>
        <w:numPr>
          <w:ilvl w:val="2"/>
          <w:numId w:val="1003"/>
        </w:numPr>
      </w:pPr>
      <w:r>
        <w:t xml:space="preserve">Total charge, inflation adjusted to 2020 ($)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Secondary Outcomes:</w:t>
      </w:r>
    </w:p>
    <w:p>
      <w:pPr>
        <w:numPr>
          <w:ilvl w:val="2"/>
          <w:numId w:val="1004"/>
        </w:numPr>
      </w:pPr>
      <w:r>
        <w:t xml:space="preserve">Cardiac arrest</w:t>
      </w:r>
    </w:p>
    <w:p>
      <w:pPr>
        <w:numPr>
          <w:ilvl w:val="2"/>
          <w:numId w:val="1004"/>
        </w:numPr>
      </w:pPr>
      <w:r>
        <w:t xml:space="preserve">Gastrointestinal hemorrhage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Adjustment Variables: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Demographics and Socioeconomic Factors:</w:t>
      </w:r>
      <w:r>
        <w:t xml:space="preserve"> </w:t>
      </w:r>
      <w:r>
        <w:t xml:space="preserve">Age, sex, race, residential income quartile.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Hospital Characteristics:</w:t>
      </w:r>
      <w:r>
        <w:t xml:space="preserve"> </w:t>
      </w:r>
      <w:r>
        <w:t xml:space="preserve">Region, bed size, and teaching status.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Kidney transplant history, coronary artery disease, cerebrovascular disease, chronic obstructive pulmonary disease, diabetes mellitus, heart failure, hypertension, obesity, and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Continuous Outcomes:</w:t>
      </w:r>
      <w:r>
        <w:t xml:space="preserve"> </w:t>
      </w:r>
      <w:r>
        <w:t xml:space="preserve">Design-based Kruskal-Wallis test for outcomes such as length of stay and total charges.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Categorical Outcomes:</w:t>
      </w:r>
      <w:r>
        <w:t xml:space="preserve"> </w:t>
      </w:r>
      <w:r>
        <w:t xml:space="preserve">Rao &amp; Scott-adjusted Pearson’s Chi-square test for outcomes like in-hospital mortality, gastrointestinal bleeding, and cardiac arrest.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Logistic Regression:</w:t>
      </w:r>
      <w:r>
        <w:t xml:space="preserve"> </w:t>
      </w:r>
      <w:r>
        <w:t xml:space="preserve">For binary outcomes (e.g., in-hospital mortality, gastrointestinal bleeding, cardiac arrest). Report adjusted odds ratios (ORs) with 95% confidence intervals (CIs).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Linear Regression:</w:t>
      </w:r>
      <w:r>
        <w:t xml:space="preserve"> </w:t>
      </w:r>
      <w:r>
        <w:t xml:space="preserve">For continuous outcomes (e.g., length of stay, total charges). Report adjusted beta coefficients with 95% CIs.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Model Adjustment:</w:t>
      </w:r>
      <w:r>
        <w:t xml:space="preserve"> </w:t>
      </w:r>
      <w:r>
        <w:t xml:space="preserve">All models adjusted for the demographic, clinical, and hospital factors listed above, as well as OSA status (yes/no).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Survey Weights:</w:t>
      </w:r>
      <w:r>
        <w:t xml:space="preserve"> </w:t>
      </w:r>
      <w:r>
        <w:t xml:space="preserve">The NIS survey design and discharge weights were applied to account for the complex sampling methodology and ensure nationally representative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using the R Statistical Language (Version 4.4.1; R Foundation for Statistical Computing, Vienna, Austria), utilizing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complex sampling designs of the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p>
      <w:pPr>
        <w:pStyle w:val="FirstParagraph"/>
      </w:pPr>
      <w:r>
        <w:t xml:space="preserve">A total of 3,385,755 hospitalizations with a diagnosis of renal failure were identified, of which 362,855 (10.7%) involved patients with a concurrent diagnosis of obstructive sleep apnea (OSA). Patients with OSA were more likely to be older (mean age: 63 ± 12 vs. 62 ± 15 years; p &lt; 0.001) and male (61% vs. 54%; p &lt; 0.001) compared to those without OSA. The racial distribution differed significantly, with a higher proportion of White patients in the OSA group (52% vs. 40%) and lower representation among Asian/Pacific Islander, Hispanic, and Other racial categories (p &lt; 0.001).</w:t>
      </w:r>
    </w:p>
    <w:p>
      <w:pPr>
        <w:pStyle w:val="BodyText"/>
      </w:pPr>
      <w:r>
        <w:t xml:space="preserve">Socioeconomic indicators showed that patients with OSA were more likely to reside in higher-income quartiles (16% in the highest quartile vs. 14%; p &lt; 0.001). Medicare was the predominant payer for patients with OSA (79% vs. 72%; p &lt; 0.001). Geographically, OSA patients were more commonly hospitalized in the Midwest (30% vs. 19%) and less so in the South (39% vs. 44%; p &lt; 0.001).</w:t>
      </w:r>
    </w:p>
    <w:p>
      <w:pPr>
        <w:pStyle w:val="BodyText"/>
      </w:pPr>
      <w:r>
        <w:t xml:space="preserve">Comorbidity patterns revealed that patients with OSA had significantly higher rates of coronary artery disease (53% vs. 41%), diabetes mellitus (74% vs. 63%), heart failure (63% vs. 49%), hypertension (96% vs. 95%), and obesity (44% vs. 15%; all p &lt; 0.001).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3,385,755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without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3,022,900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362,855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1,537,500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1,397,280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140,220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1,848,165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1,625,530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222,635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1,380,020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1,196,370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183,650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138,215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128,165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1,105,220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989,245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115,975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558,465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522,820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35,645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141,300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131,705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1,297,295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1,171,690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125,605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858,270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762,255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96,015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692,500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612,270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80,230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482,110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425,735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56,375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429,845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402,960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26,885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2,471,650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2,186,840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284,810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113,830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104,920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367,220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325,285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41,935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673,010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564,770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108,240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555,475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503,840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1,475,535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1,333,720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141,815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681,735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620,570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61,165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1,776,065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1,576,025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200,040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985,185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885,455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99,730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624,505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561,420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63,085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174,185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155,975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18,210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602,090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546,315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55,775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2,609,480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2,320,610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288,870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71,600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63,945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7,655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1,442,975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1,250,625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192,350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301,515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272,070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29,445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821,050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680,090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140,960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2,169,300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1,901,405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267,895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1,704,180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1,475,125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229,055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32,890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31,080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3,212,090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2,863,345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348,745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617,580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457,975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159,605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p>
      <w:pPr>
        <w:pStyle w:val="FirstParagraph"/>
      </w:pPr>
      <w:r>
        <w:t xml:space="preserve">Upon univariable analysis, patients with OSA had significantly lower in-hospital mortality rates compared to those without OSA (4.0% vs. 5.5%; p &lt; 0.001). Cardiac arrest was less frequent among OSA patients (1.9% vs. 2.4%; p &lt; 0.001), while rates of gastrointestinal hemorrhage were comparable between groups (8.3% vs. 8.4%; p = 0.2). The median length of stay was longer for OSA patients (5.0 [3.0–8.0] vs. 4.0 [2.0–8.0] days; p &lt; 0.001), whereas total hospital charges were not significantly different after inflation adjustment ($52,011 vs. $51,542; p = 0.2).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3,385,755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without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3,022,900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Renal Failure with OSA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362,855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182,145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167,595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14,550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80,210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73,245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6,965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284,705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254,620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30,085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51,600 (27,248, 104,284)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51,542 (27,132, 104,617)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52,011 (28,186, 101,495)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8" w:name="multivariable-regression"/>
    <w:p>
      <w:pPr>
        <w:pStyle w:val="Heading2"/>
      </w:pPr>
      <w:r>
        <w:t xml:space="preserve">Multivariable Regression:</w:t>
      </w:r>
    </w:p>
    <w:p>
      <w:pPr>
        <w:pStyle w:val="FirstParagraph"/>
      </w:pPr>
      <w:r>
        <w:t xml:space="preserve">After adjustment for demographic, clinical, and hospital factors, OSA was associated with reduced odds of in-hospital mortality (adjusted OR 0.72; 95% CI 0.70–0.76; p &lt; 0.001). OSA also conferred a protective effect against cardiac arrest (adjusted OR 0.74; 95% CI 0.70–0.79; p &lt; 0.001). However, no significant association was observed between OSA and gastrointestinal hemorrhage (adjusted OR 1.01; 95% CI 0.98–1.05; p = 0.3).</w:t>
      </w:r>
    </w:p>
    <w:p>
      <w:pPr>
        <w:pStyle w:val="BodyText"/>
      </w:pPr>
      <w:r>
        <w:t xml:space="preserve">OSA was associated with a modest reduction in length of stay (adjusted β = -0.39 days; 95% CI -0.46 to -0.32; p &lt; 0.001) and inflation-adjusted total hospital charges (adjusted β = -$10,138; 95% CI -$11,494 to -$8,782; p &lt; 0.001).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Start w:id="24" w:name="cardiac-arrest"/>
    <w:p>
      <w:pPr>
        <w:pStyle w:val="Heading3"/>
      </w:pPr>
      <w:r>
        <w:t xml:space="preserve">Cardiac Arrest: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gastrointestinal-hemorrhage"/>
    <w:p>
      <w:pPr>
        <w:pStyle w:val="Heading3"/>
      </w:pPr>
      <w:r>
        <w:t xml:space="preserve">Gastrointestinal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-0.64, 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-0.64, 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-3.3, 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-2.0, 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Start w:id="27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without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Renal Failure with 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-11,494, -8,782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-155, -77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5,326, 7,034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2,171, 10,728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-6,397, -2,921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3,445, 9,081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4,304, 13,066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-414, 3,045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744, 4,932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8,317, 14,827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-2,910, 1,848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-3,134, 4,032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18,690, 26,387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25,131, 36,097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16,792, 23,436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42,061, 55,404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-23,996, -16,330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-35,856, -27,791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31,182, 37,884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48,226, 54,924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Kidney transplant Hx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-19,124, -13,450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-512, 1,793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22,585, 26,886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-15,503, -12,655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-26,808, -22,608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5,245, 8,078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-53,281, -40,258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-37,868, -28,533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11,429, 14,087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7,567, 8,850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Obstructive Sleep Apnea on In-Hospital Outcomes in Patients with Renal Failure</dc:title>
  <dc:creator>Yamna Waseem; Ali Salman</dc:creator>
  <cp:keywords/>
  <dcterms:created xsi:type="dcterms:W3CDTF">2024-12-04T13:04:31Z</dcterms:created>
  <dcterms:modified xsi:type="dcterms:W3CDTF">2024-12-04T13:04:31Z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National Inpatient Sample Analysis (2018–2020)</vt:lpwstr>
  </property>
  <property fmtid="{D5CDD505-2E9C-101B-9397-08002B2CF9AE}" pid="12" name="toc-title">
    <vt:lpwstr>Table of contents</vt:lpwstr>
  </property>
</Properties>
</file>