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Atrial</w:t>
      </w:r>
      <w:r>
        <w:t xml:space="preserve"> </w:t>
      </w:r>
      <w:r>
        <w:t xml:space="preserve">Fibrillation</w:t>
      </w:r>
      <w:r>
        <w:t xml:space="preserve"> </w:t>
      </w:r>
      <w:r>
        <w:t xml:space="preserve">in</w:t>
      </w:r>
      <w:r>
        <w:t xml:space="preserve"> </w:t>
      </w:r>
      <w:r>
        <w:t xml:space="preserve">Aortic</w:t>
      </w:r>
      <w:r>
        <w:t xml:space="preserve"> </w:t>
      </w:r>
      <w:r>
        <w:t xml:space="preserve">Aneurysm</w:t>
      </w:r>
      <w:r>
        <w:t xml:space="preserve"> </w:t>
      </w:r>
      <w:r>
        <w:t xml:space="preserve">Patients: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Cardio13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Papers: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5"/>
        </w:numPr>
      </w:pPr>
      <w:r>
        <w:t xml:space="preserve">Medical History: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6162"/>
        <w:gridCol w:w="5698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200,250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161,220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39,030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47,475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141,010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113,745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27,265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150,495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119,555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30,940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22,075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54,180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53,525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38,300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31,440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47,895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11,680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104,660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28,480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49,140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39,265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9,875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35,830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28,735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77,960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14,105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29,365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131,165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104,555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46,390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37,925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8,465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171,585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137,365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34,220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166,000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132,060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33,940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13,190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36,420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35,950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7,325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31,270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47,770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1,420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1,135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rank-sum test for complex survey samples; chi-squared test with Rao &amp; Scott's second-order correction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7"/>
        <w:gridCol w:w="2484"/>
        <w:gridCol w:w="6162"/>
        <w:gridCol w:w="5698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200,250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161,220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39,030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12,550 (6.3%)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9,660 (6.0%)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2,890 (7.4%)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9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Inflation-adjusted total charge ($)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200,987 (253,315)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190,435 (253,243)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244,613 (248,923)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3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-0.24, 0.25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-0.17, 0.35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1.8, 2.6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-6.4, -4.0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1279"/>
        <w:gridCol w:w="214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40,621, 55,261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-3,131, -2,435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1,199, 11,522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2,981, 50,307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14,251, 33,452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24,788, 55,690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-43,291, 14,626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23,988, 66,720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12,197, 20,422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-507, 12,925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-1,641, 14,165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9,054, 29,772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-652, 30,547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-7,732, 8,387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-4,483, 38,356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18,832, 49,314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25,613, 40,653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82,039, 132,129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-42,797, -21,925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-49,943, -26,666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37,048, 59,803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66,329, 84,648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-48,329, -29,626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82,127, 115,909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26,631, 55,312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-36,201, -20,046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-21,650, 5,876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-31,262, -18,247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-118,687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-154,398, -82,977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2024-06-23T09:24:40Z</dcterms:created>
  <dcterms:modified xsi:type="dcterms:W3CDTF">2024-06-23T09:24:40Z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