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on</w:t>
      </w:r>
      <w:r>
        <w:t xml:space="preserve"> </w:t>
      </w:r>
      <w:r>
        <w:t xml:space="preserve">Mortality</w:t>
      </w:r>
      <w:r>
        <w:t xml:space="preserve"> </w:t>
      </w:r>
      <w:r>
        <w:t xml:space="preserve">in</w:t>
      </w:r>
      <w:r>
        <w:t xml:space="preserve"> </w:t>
      </w:r>
      <w:r>
        <w:t xml:space="preserve">Hospitalized</w:t>
      </w:r>
      <w:r>
        <w:t xml:space="preserve"> </w:t>
      </w:r>
      <w:r>
        <w:t xml:space="preserve">Patients</w:t>
      </w:r>
      <w:r>
        <w:t xml:space="preserve"> </w:t>
      </w:r>
      <w:r>
        <w:t xml:space="preserve">With</w:t>
      </w:r>
      <w:r>
        <w:t xml:space="preserve"> </w:t>
      </w:r>
      <w:r>
        <w:t xml:space="preserve">Coronary</w:t>
      </w:r>
      <w:r>
        <w:t xml:space="preserve"> </w:t>
      </w:r>
      <w:r>
        <w:t xml:space="preserve">Artery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IM6</w:t>
      </w:r>
    </w:p>
    <w:p>
      <w:pPr>
        <w:pStyle w:val="Author"/>
      </w:pPr>
      <w:r>
        <w:t xml:space="preserve">Ali</w:t>
      </w:r>
      <w:r>
        <w:t xml:space="preserve"> </w:t>
      </w:r>
      <w:r>
        <w:t xml:space="preserve">Salman</w:t>
      </w:r>
    </w:p>
    <w:bookmarkStart w:id="21" w:name="preamble"/>
    <w:p>
      <w:pPr>
        <w:pStyle w:val="Heading2"/>
      </w:pPr>
      <w:r>
        <w:t xml:space="preserve">Preamble:</w:t>
      </w:r>
    </w:p>
    <w:p>
      <w:pPr>
        <w:numPr>
          <w:ilvl w:val="0"/>
          <w:numId w:val="1001"/>
        </w:numPr>
      </w:pPr>
      <w:r>
        <w:rPr>
          <w:b/>
          <w:bCs/>
        </w:rPr>
        <w:t xml:space="preserve">Reference Paper:</w:t>
      </w:r>
      <w:r>
        <w:t xml:space="preserve"> </w:t>
      </w:r>
      <w:hyperlink r:id="rId20">
        <w:r>
          <w:rPr>
            <w:rStyle w:val="Hyperlink"/>
          </w:rPr>
          <w:t xml:space="preserve">Sreenivasan et al. 2022</w:t>
        </w:r>
      </w:hyperlink>
    </w:p>
    <w:p>
      <w:pPr>
        <w:numPr>
          <w:ilvl w:val="0"/>
          <w:numId w:val="1001"/>
        </w:numPr>
      </w:pPr>
      <w:r>
        <w:rPr>
          <w:b/>
          <w:bCs/>
        </w:rPr>
        <w:t xml:space="preserve">Study Objective</w:t>
      </w:r>
      <w:r>
        <w:t xml:space="preserve">: Examine the impact of body mass index (BMI) on outcomes among patients with coronary artery disease (CAD).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hospitalized patients diagnosed with a principal diagnosis or a history of CAD.</w:t>
      </w:r>
    </w:p>
    <w:p>
      <w:pPr>
        <w:numPr>
          <w:ilvl w:val="0"/>
          <w:numId w:val="1001"/>
        </w:numPr>
      </w:pPr>
      <w:r>
        <w:rPr>
          <w:b/>
          <w:bCs/>
        </w:rPr>
        <w:t xml:space="preserve">BMI Categories</w:t>
      </w:r>
      <w:r>
        <w:t xml:space="preserve">:</w:t>
      </w:r>
    </w:p>
    <w:p>
      <w:pPr>
        <w:numPr>
          <w:ilvl w:val="1"/>
          <w:numId w:val="1002"/>
        </w:numPr>
      </w:pPr>
      <w:r>
        <w:t xml:space="preserve">Underweight: BMI ≤19.9 kg/m²</w:t>
      </w:r>
    </w:p>
    <w:p>
      <w:pPr>
        <w:numPr>
          <w:ilvl w:val="1"/>
          <w:numId w:val="1002"/>
        </w:numPr>
      </w:pPr>
      <w:r>
        <w:t xml:space="preserve">Normal Weight: BMI 20.0 to 24.9 kg/m²</w:t>
      </w:r>
    </w:p>
    <w:p>
      <w:pPr>
        <w:numPr>
          <w:ilvl w:val="1"/>
          <w:numId w:val="1002"/>
        </w:numPr>
      </w:pPr>
      <w:r>
        <w:t xml:space="preserve">Overweight: BMI 25.0 to 29.9 kg/m²</w:t>
      </w:r>
    </w:p>
    <w:p>
      <w:pPr>
        <w:numPr>
          <w:ilvl w:val="1"/>
          <w:numId w:val="1002"/>
        </w:numPr>
      </w:pPr>
      <w:r>
        <w:t xml:space="preserve">Class I Obesity: BMI 30.0 to 34.9 kg/m²</w:t>
      </w:r>
    </w:p>
    <w:p>
      <w:pPr>
        <w:numPr>
          <w:ilvl w:val="1"/>
          <w:numId w:val="1002"/>
        </w:numPr>
      </w:pPr>
      <w:r>
        <w:t xml:space="preserve">Class II Obesity: BMI 35.0 to 39.9 kg/m²</w:t>
      </w:r>
    </w:p>
    <w:p>
      <w:pPr>
        <w:numPr>
          <w:ilvl w:val="1"/>
          <w:numId w:val="1002"/>
        </w:numPr>
      </w:pPr>
      <w:r>
        <w:t xml:space="preserve">Class III Obesity: BMI ≥40.0 kg/m²</w:t>
      </w:r>
    </w:p>
    <w:p>
      <w:pPr>
        <w:numPr>
          <w:ilvl w:val="0"/>
          <w:numId w:val="1001"/>
        </w:numPr>
      </w:pPr>
      <w:r>
        <w:rPr>
          <w:b/>
          <w:bCs/>
        </w:rPr>
        <w:t xml:space="preserve">Primary Outcomes</w:t>
      </w:r>
      <w:r>
        <w:t xml:space="preserve">:</w:t>
      </w:r>
    </w:p>
    <w:p>
      <w:pPr>
        <w:numPr>
          <w:ilvl w:val="1"/>
          <w:numId w:val="1003"/>
        </w:numPr>
      </w:pPr>
      <w:r>
        <w:t xml:space="preserve">In-hospital all-cause mortality</w:t>
      </w:r>
    </w:p>
    <w:p>
      <w:pPr>
        <w:numPr>
          <w:ilvl w:val="1"/>
          <w:numId w:val="1003"/>
        </w:numPr>
      </w:pPr>
      <w:r>
        <w:t xml:space="preserve">Total hospital length of stay (days)</w:t>
      </w:r>
    </w:p>
    <w:p>
      <w:pPr>
        <w:numPr>
          <w:ilvl w:val="1"/>
          <w:numId w:val="1003"/>
        </w:numPr>
      </w:pPr>
      <w:r>
        <w:t xml:space="preserve">Total charge, inflation adjusted to 2020 ($)</w:t>
      </w:r>
    </w:p>
    <w:p>
      <w:pPr>
        <w:numPr>
          <w:ilvl w:val="0"/>
          <w:numId w:val="1001"/>
        </w:numPr>
      </w:pPr>
      <w:r>
        <w:rPr>
          <w:b/>
          <w:bCs/>
        </w:rPr>
        <w:t xml:space="preserve">Statistical Analysis</w:t>
      </w:r>
      <w:r>
        <w:t xml:space="preserve">: Multiple logistic and linear regression to determine the independent association of BMI categories with in-hospital mortality and length of stay, respectively, adjusted for:</w:t>
      </w:r>
    </w:p>
    <w:p>
      <w:pPr>
        <w:numPr>
          <w:ilvl w:val="1"/>
          <w:numId w:val="1004"/>
        </w:numPr>
      </w:pPr>
      <w:r>
        <w:t xml:space="preserve">Demographics: Age, gender, race</w:t>
      </w:r>
    </w:p>
    <w:p>
      <w:pPr>
        <w:numPr>
          <w:ilvl w:val="1"/>
          <w:numId w:val="1004"/>
        </w:numPr>
      </w:pPr>
      <w:r>
        <w:t xml:space="preserve">Medical History: Previous coronary artery bypass graft, myocardial infarction, percutaneous coronary intervention</w:t>
      </w:r>
    </w:p>
    <w:p>
      <w:pPr>
        <w:numPr>
          <w:ilvl w:val="1"/>
          <w:numId w:val="1004"/>
        </w:numPr>
      </w:pPr>
      <w:r>
        <w:t xml:space="preserve">Comorbidities: Charlson comorbidity index, atrial fibrillation, cerebrovascular disease, heart failure, peripheral vascular disease, dementia, tobacco use disorder, chronic obstructive pulmonary disease, valvular heart disease, liver disease, diabetes mellitus, hypertension, chronic kidney disease, dialysis dependence, anemia, hyperlipidemia, and any cancer.</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3"/>
        <w:gridCol w:w="2667"/>
        <w:gridCol w:w="5442"/>
        <w:gridCol w:w="5467"/>
        <w:gridCol w:w="5528"/>
        <w:gridCol w:w="5392"/>
        <w:gridCol w:w="5124"/>
        <w:gridCol w:w="4878"/>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3,693,570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Normal weight (BMI 20.0-24.9kg/m²)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266,900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 obesity (BMI 30.0-34.9kg/m²)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871,760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 obesity (BMI 35.0-39.9kg/m²)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722,290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III obesity (BMI ≥40.0kg/m²)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1,085,370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Overweight (BMI 25.0-29.9kg/m²)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353,235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Underweight (BMI ≤19.9kg/m²)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394,015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1,616,920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100,455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299,680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570,945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130,815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195,150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2,076,460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166,410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551,840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422,580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514,395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222,395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198,840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2,703,165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191,600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652,690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537,210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784,280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254,345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283,040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10,655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13,520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500,665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99,630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174,955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262,035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67,735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68,870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21,425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19,185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76,070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19,080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 quartile by ZIP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 $51,999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1,163,180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259,145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222,545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372,445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106,120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123,570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$52,000 - $65,999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1,024,375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69,490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239,565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205,785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312,985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102,275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$66,000 - $87,999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849,875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61,125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208,045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169,480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241,895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87,050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602,210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52,990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152,800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113,750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142,615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65,175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74,880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Healthcare payer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322,300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15,330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66,045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63,840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128,200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23,420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2,581,230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218,785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597,280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473,805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699,840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265,840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325,680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charge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22,045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618,350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23,935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146,770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204,370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48,475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30,600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Self-pay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25,520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3,341,650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227,520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798,815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668,475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1,007,545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317,140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322,155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2,087,065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100,760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498,745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454,870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747,095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180,495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1,354,770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98,430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303,335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259,600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437,720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130,165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125,520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180,850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16,535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41,915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33,245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48,045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20,300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20,810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221,320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18,780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48,250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40,230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67,560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23,525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22,975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202,055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30,490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42,635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29,105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35,785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26,745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37,295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1,417,520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91,560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285,555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259,890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481,845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112,700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185,970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265,740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27,730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53,245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42,205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74,515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582,665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53,525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142,280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104,280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127,720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90,635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1,017,110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231,395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192,880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308,780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98,005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108,320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889,950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62,565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221,635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179,715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245,730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85,960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94,345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923,435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62,875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246,795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246,455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93,250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645,200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58,195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170,955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131,650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145,945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75,365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63,090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348,870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30,175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88,345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63,825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81,805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45,085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272,005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51,075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44,965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26,905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29,990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37,600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81,470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1,915,090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126,000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406,695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365,340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664,980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164,925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187,150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26,585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2,577,040 (70)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161,330 (60)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660,670 (76)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537,115 (74)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747,645 (69)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253,555 (72)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216,725 (55)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n (%)</w:t>
            </w:r>
          </w:p>
        </w:tc>
      </w:tr>
      <w:tr>
        <w:trPr>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rank-sum test for complex survey samples; chi-squared test with Rao &amp; Scott's second-order correction</w:t>
            </w:r>
          </w:p>
        </w:tc>
      </w:tr>
    </w:tbl>
    <w:bookmarkEnd w:id="22"/>
    <w:bookmarkStart w:id="23" w:name="outcomes-table"/>
    <w:p>
      <w:pPr>
        <w:pStyle w:val="Heading2"/>
      </w:pPr>
      <w:r>
        <w:t xml:space="preserve">Outcomes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27"/>
        <w:gridCol w:w="2882"/>
        <w:gridCol w:w="5442"/>
        <w:gridCol w:w="5467"/>
        <w:gridCol w:w="5528"/>
        <w:gridCol w:w="5392"/>
        <w:gridCol w:w="5124"/>
        <w:gridCol w:w="4878"/>
        <w:gridCol w:w="1181"/>
      </w:tblGrid>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3,693,570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Normal weight (BMI 20.0-24.9kg/m²)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266,900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 obesity (BMI 30.0-34.9kg/m²)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871,760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 obesity (BMI 35.0-39.9kg/m²)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722,290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III obesity (BMI ≥40.0kg/m²)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1,085,370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Overweight (BMI 25.0-29.9kg/m²)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353,235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Underweight (BMI ≤19.9kg/m²)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394,015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Died during hospitalization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108,960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13,855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16,395 (1.9)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13,240 (1.8)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27,475 (2.5)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11,190 (3.2)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26,805 (6.8)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 of stay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 –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29"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Inflation-adjusted total charge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49,814 (26,900 – 95,686)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49,340 (27,125 – 93,565)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52,773 (27,789 – 102,334)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50,213 (26,849 – 95,516)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47,440 (26,022 – 90,658)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53,730 (28,587 – 105,184)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47,178 (26,253 – 88,784)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r>
        <w:trPr>
          <w:trHeight w:val="360" w:hRule="auto"/>
        </w:trPr>
        footer2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chi-squared test with Rao &amp; Scott's second-order correction; Wilcoxon rank-sum test for complex survey samples</w:t>
            </w:r>
          </w:p>
        </w:tc>
      </w:tr>
    </w:tbl>
    <w:bookmarkEnd w:id="23"/>
    <w:bookmarkStart w:id="25"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2209"/>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(0.51 to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 (0.53 to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(0.74 to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 (0.70 to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(1.31 to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(1.03 to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(1.09 to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(1.13 to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 (0.92 to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(1.02 to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(0.96 to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(1.02 to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 (0.88 to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 (0.73 to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 (0.76 to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(1.15 to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(1.24 to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(1.10 to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(1.33 to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 (0.86 to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(1.03 to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(0.75 to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r>
      <w:tr>
        <w:trPr>
          <w:trHeight w:val="57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 (0.83 to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 (0.91 to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 (2.28 to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 (0.75 to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 (0.66 to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 (0.83 to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(1.36 to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 (0.73 to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 (0.66 to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(0.97 to 1.08)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 = Odds Ratio, CI = Confidence Interval</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2428"/>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(-1.8 to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(-1.9 to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(-1.5 to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(-0.89 to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(-0.25 to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(-0.01 to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(0.07 to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 (0.40 to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(0.36 to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 (0.15 to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(-0.44 to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 (0.16 to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 (-0.60 to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 (-0.64 to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 (-0.68 to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(0.24 to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(0.63 to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 (0.74 to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 (0.53 to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(-0.08 to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 (0.45 to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(-0.51 to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 (-0.23 to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 (0.34 to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(0.54 to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 (-0.10 to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(-0.32 to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(-0.03 to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 (0.10 to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 (0.79 to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 (-0.60 to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 (0.41 to 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26"/>
    <w:bookmarkStart w:id="27" w:name="inflation-adjusted-total-charge"/>
    <w:p>
      <w:pPr>
        <w:pStyle w:val="Heading3"/>
      </w:pPr>
      <w:r>
        <w:t xml:space="preserve">Inflation Adjusted Total Charge: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3162"/>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1,137 (-401 to 2,675)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-2,980 (-4,514 to -1,446)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-5,347 (-6,983 to -3,711)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6,135 (4,555 to 7,715)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 (-3,228 to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 (-553 to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8,599 (8,024 to 9,174)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34,990 (30,054 to 39,926)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 (-4,016 to -1,185)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24,877 (22,319 to 27,435)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-8,959 (-13,041 to -4,877)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24,508 (19,403 to 29,613)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-18,115 (-18,935 to -17,296)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-12,112 (-12,818 to -11,405)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-12,635 (-13,286 to -11,984)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Charlson comorbidity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2,795 (2,553 to 3,036)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8,735 (7,954 to 9,517)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10,430 (9,291 to 11,570)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3,125 (2,418 to 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 (2,869 to 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-13,873 (-14,854 to -12,891)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-3,699 (-6,647 to -752)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57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-10,484 (-11,193 to -9,776)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21,319 (20,054 to 22,583)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8,311 (6,659 to 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-3,788 (-4,455 to -3,122)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-3,781 (-4,816 to -2,746)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-8,869 (-9,775 to -7,963)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5,623 (4,222 to 7,024)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 (-706 to 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61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 (-4.4 to 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r>
      <w:tr>
        <w:trPr>
          <w:trHeight w:val="57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4,016 (2,684 to 5,349)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amjcard.2022.04.011"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amjcard.2022.04.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Body Mass Index on Mortality in Hospitalized Patients With Coronary Artery Disease</dc:title>
  <dc:creator>Ali Salman</dc:creator>
  <cp:keywords/>
  <dcterms:created xsi:type="dcterms:W3CDTF">2024-06-30T17:52:31Z</dcterms:created>
  <dcterms:modified xsi:type="dcterms:W3CDTF">2024-06-30T17:52:31Z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IM6</vt:lpwstr>
  </property>
  <property fmtid="{D5CDD505-2E9C-101B-9397-08002B2CF9AE}" pid="12" name="toc-title">
    <vt:lpwstr>Table of contents</vt:lpwstr>
  </property>
</Properties>
</file>