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 and Demographic Inequities in the Management and Outcomes of Coronary Artery Disease and Acute Stroke</w:t>
      </w:r>
    </w:p>
    <w:p>
      <w:pPr>
        <w:pStyle w:val="Subtitle"/>
      </w:pPr>
      <w:r>
        <w:t xml:space="preserve">Analysis for RCOP NIS Sep Neuro1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Havenon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race and inpatient outcomes for coronary artery disease (CAD) and acute stroke in U.S. hospitals from 2018 to 2020, adjusting for demographic, socioeconomic,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coronary artery disease (CAD) and acute stroke, identified using ICD-10 diagnosis codes. Patients were categorized into racial groups: White, Asian or Pacific Islander, Black, Hispanic, and Other.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Postoperative Intracranial Bleeding</w:t>
      </w:r>
    </w:p>
    <w:p>
      <w:pPr>
        <w:numPr>
          <w:ilvl w:val="1"/>
          <w:numId w:val="1003"/>
        </w:numPr>
      </w:pPr>
      <w:r>
        <w:t xml:space="preserve">Cognitive, Visual, and Motor Dysfunction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race and outcomes: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postoperative intracranial bleeding).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Race, age, sex, income quartile, insurance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cardiac arrhythmias, diabetes mellitus, hypertension, myocardial infarction, obesity, and intervention type (thrombolysis/platelet inhibitors, decompressive craniectomy, or other).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Region, bed size, location,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4.4.2;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641,890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463,215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94,940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48,260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18,630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269,055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188,425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7,405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372,820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274,775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48,550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588,750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425,525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87,300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43,625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16,985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51,605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193,530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118,610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48,955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171,810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131,935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12,265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148,540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114,795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118,140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9,130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47,305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479,695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362,020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61,835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32,725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12,120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31,135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19,980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5,950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149,175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121,940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111,700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274,465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190,445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52,715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6,790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106,550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343,355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248,325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9,535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24,430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9,890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186,310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133,040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112,225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81,850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42,250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36,540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109,970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83,655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489,670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343,020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79,055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38,980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15,205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36,620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603,365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432,520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91,510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45,905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17,475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291,240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221,655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19,325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313,635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208,010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54,695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30,675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10,170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580,300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414,510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15,455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89,090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44,430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16,815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214,170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152,840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33,145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69,475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641,890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463,215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94,940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48,260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18,630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45,240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32,910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5,615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55,431 (30,274, 110,756)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51,257 (28,388, 101,877)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78,470 (43,348, 157,285)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59,124 (33,004, 116,087)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78,709 (44,015, 156,803)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74,407 (38,037, 149,623)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Post-operative intracranial 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Cognitive, visual, &amp; motor dysfunction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28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postoperative-intracranial-bleeding"/>
    <w:p>
      <w:pPr>
        <w:pStyle w:val="Heading3"/>
      </w:pPr>
      <w:r>
        <w:t xml:space="preserve">Postoperative Intracranial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10,739,838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6,206,945, 18,583,073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2,989,467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429,449, 20,810,177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12,211,179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6,341,607, 23,513,424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4,086,928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1,604,858, 10,407,761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8,435,566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5,884,561, 12,092,453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cognitive-visual-and-motor-dysfunction"/>
    <w:p>
      <w:pPr>
        <w:pStyle w:val="Heading3"/>
      </w:pPr>
      <w:r>
        <w:t xml:space="preserve">Cognitive, Visual, and Motor Dysfunction: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End w:id="28"/>
    <w:bookmarkStart w:id="31" w:name="multivariable-linear-regression"/>
    <w:p>
      <w:pPr>
        <w:pStyle w:val="Heading2"/>
      </w:pPr>
      <w:r>
        <w:t xml:space="preserve">Multivariable Linear Regression:</w:t>
      </w:r>
    </w:p>
    <w:bookmarkStart w:id="29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Start w:id="30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18,324, 35,328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3,510, 10,495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28,650, 39,443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31,337, 50,202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-1,627, -1,298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151, 3,710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Decompressive craniectomy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-240,639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-275,186, -206,092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Thrombolysis &amp; platelet inhibitors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-205,957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-240,666, -171,248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-2,573, 2,692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-2,170, 3,877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4,274, 12,446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-12,466, -1,989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-16,659, -3,822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-12,973, -1,465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16,805, 29,032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13,118, 20,353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42,120, 55,117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-19,302, -10,808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-32,984, -24,274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28,005, 35,069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48,582, 54,841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4,303, 5,106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27,307, 31,792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-12,866, -8,959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-38,624, -30,018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-1,911, 2,208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1,474, 6,768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doi.org/10.1001/jamaneurol.2023.5416" TargetMode="External" /><Relationship Type="http://schemas.openxmlformats.org/officeDocument/2006/relationships/hyperlink" Id="rId21" Target="https://doi.org/10.1097/MCA.00000000000014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doi.org/10.1001/jamaneurol.2023.5416" TargetMode="External" /><Relationship Type="http://schemas.openxmlformats.org/officeDocument/2006/relationships/hyperlink" Id="rId21" Target="https://doi.org/10.1097/MCA.0000000000001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and Demographic Inequities in the Management and Outcomes of Coronary Artery Disease and Acute Stroke</dc:title>
  <dc:creator>Ali Salman</dc:creator>
  <cp:keywords/>
  <dcterms:created xsi:type="dcterms:W3CDTF">2025-01-26T12:19:55Z</dcterms:created>
  <dcterms:modified xsi:type="dcterms:W3CDTF">2025-01-26T12:19:55Z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Sep Neuro1</vt:lpwstr>
  </property>
  <property fmtid="{D5CDD505-2E9C-101B-9397-08002B2CF9AE}" pid="12" name="toc-title">
    <vt:lpwstr>Table of contents</vt:lpwstr>
  </property>
</Properties>
</file>