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Pays</w:t>
      </w:r>
      <w:r>
        <w:t xml:space="preserve"> </w:t>
      </w:r>
      <w:r>
        <w:t xml:space="preserve">the</w:t>
      </w:r>
      <w:r>
        <w:t xml:space="preserve"> </w:t>
      </w:r>
      <w:r>
        <w:t xml:space="preserve">Price?</w:t>
      </w:r>
      <w:r>
        <w:t xml:space="preserve"> </w:t>
      </w:r>
      <w:r>
        <w:t xml:space="preserve">Race,</w:t>
      </w:r>
      <w:r>
        <w:t xml:space="preserve"> </w:t>
      </w:r>
      <w:r>
        <w:t xml:space="preserve">Socioeconomic</w:t>
      </w:r>
      <w:r>
        <w:t xml:space="preserve"> </w:t>
      </w:r>
      <w:r>
        <w:t xml:space="preserve">Factors,</w:t>
      </w:r>
      <w:r>
        <w:t xml:space="preserve"> </w:t>
      </w:r>
      <w:r>
        <w:t xml:space="preserve">and</w:t>
      </w:r>
      <w:r>
        <w:t xml:space="preserve"> </w:t>
      </w:r>
      <w:r>
        <w:t xml:space="preserve">Outcomes</w:t>
      </w:r>
      <w:r>
        <w:t xml:space="preserve"> </w:t>
      </w:r>
      <w:r>
        <w:t xml:space="preserve">in</w:t>
      </w:r>
      <w:r>
        <w:t xml:space="preserve"> </w:t>
      </w:r>
      <w:r>
        <w:t xml:space="preserve">Intracranial</w:t>
      </w:r>
      <w:r>
        <w:t xml:space="preserve"> </w:t>
      </w:r>
      <w:r>
        <w:t xml:space="preserve">Tumor</w:t>
      </w:r>
      <w:r>
        <w:t xml:space="preserve"> </w:t>
      </w:r>
      <w:r>
        <w:t xml:space="preserve">Care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Sep</w:t>
      </w:r>
      <w:r>
        <w:t xml:space="preserve"> </w:t>
      </w:r>
      <w:r>
        <w:t xml:space="preserve">Surg1</w:t>
      </w:r>
    </w:p>
    <w:p>
      <w:pPr>
        <w:pStyle w:val="Author"/>
      </w:pPr>
      <w:r>
        <w:t xml:space="preserve">Ali</w:t>
      </w:r>
      <w:r>
        <w:t xml:space="preserve"> </w:t>
      </w:r>
      <w:r>
        <w:t xml:space="preserve">Salman</w:t>
      </w:r>
    </w:p>
    <w:bookmarkStart w:id="20" w:name="overview"/>
    <w:p>
      <w:pPr>
        <w:pStyle w:val="Heading2"/>
      </w:pPr>
      <w:r>
        <w:t xml:space="preserve">Overview:</w:t>
      </w:r>
    </w:p>
    <w:p>
      <w:pPr>
        <w:numPr>
          <w:ilvl w:val="0"/>
          <w:numId w:val="1001"/>
        </w:numPr>
      </w:pPr>
      <w:r>
        <w:rPr>
          <w:b/>
          <w:bCs/>
        </w:rPr>
        <w:t xml:space="preserve">Study Objective:</w:t>
      </w:r>
      <w:r>
        <w:t xml:space="preserve"> </w:t>
      </w:r>
      <w:r>
        <w:t xml:space="preserve">Investigate the association between race, income, and insurance status with outcomes among patients admitted with a principal diagnosis of intracranial tumors across U.S. hospitals from 2018 to 2020, while adjusting for demographic, clinical, and hospital-level factors.</w:t>
      </w:r>
    </w:p>
    <w:p>
      <w:pPr>
        <w:numPr>
          <w:ilvl w:val="0"/>
          <w:numId w:val="1001"/>
        </w:numPr>
      </w:pPr>
      <w:r>
        <w:rPr>
          <w:b/>
          <w:bCs/>
        </w:rPr>
        <w:t xml:space="preserve">Data Source:</w:t>
      </w:r>
      <w:r>
        <w:t xml:space="preserve"> </w:t>
      </w:r>
      <w:r>
        <w:t xml:space="preserve">Cross-sectional analysis utilizing the National Inpatient Sample (NIS) from 2018 to 2020.</w:t>
      </w:r>
    </w:p>
    <w:p>
      <w:pPr>
        <w:numPr>
          <w:ilvl w:val="0"/>
          <w:numId w:val="1001"/>
        </w:numPr>
      </w:pPr>
      <w:r>
        <w:rPr>
          <w:b/>
          <w:bCs/>
        </w:rPr>
        <w:t xml:space="preserve">Patient Selection:</w:t>
      </w:r>
      <w:r>
        <w:t xml:space="preserve"> </w:t>
      </w:r>
      <w:r>
        <w:t xml:space="preserve">Included all inpatient admissions with a principal diagnosis of intracranial tumors, identified using ICD-10 diagnosis codes for benign or malignant neoplasms of the brain and central nervous system, meninges, or eye and adnexa (D31.xx, D32.xx, D33.xx, C69.xx, C70.xx, C71.xx, C72.xx). Patients were categorized by race (White, Asian or Pacific Islander, Black, Hispanic, Other).</w:t>
      </w:r>
    </w:p>
    <w:p>
      <w:pPr>
        <w:numPr>
          <w:ilvl w:val="0"/>
          <w:numId w:val="1001"/>
        </w:numPr>
      </w:pPr>
      <w:r>
        <w:rPr>
          <w:b/>
          <w:bCs/>
        </w:rPr>
        <w:t xml:space="preserve">Outcomes of Interest:</w:t>
      </w:r>
    </w:p>
    <w:p>
      <w:pPr>
        <w:numPr>
          <w:ilvl w:val="1"/>
          <w:numId w:val="1002"/>
        </w:numPr>
      </w:pPr>
      <w:r>
        <w:t xml:space="preserve">In-hospital Mortality</w:t>
      </w:r>
    </w:p>
    <w:p>
      <w:pPr>
        <w:numPr>
          <w:ilvl w:val="1"/>
          <w:numId w:val="1002"/>
        </w:numPr>
      </w:pPr>
      <w:r>
        <w:t xml:space="preserve">Length of Stay (days)</w:t>
      </w:r>
    </w:p>
    <w:p>
      <w:pPr>
        <w:numPr>
          <w:ilvl w:val="1"/>
          <w:numId w:val="1002"/>
        </w:numPr>
      </w:pPr>
      <w:r>
        <w:t xml:space="preserve">Inflation-Adjusted Total Charge ($) [inflation adjusted to 2020 dollars using CPI data from the U.S. Bureau of Labor Statistics]</w:t>
      </w:r>
    </w:p>
    <w:p>
      <w:pPr>
        <w:numPr>
          <w:ilvl w:val="0"/>
          <w:numId w:val="1001"/>
        </w:numPr>
      </w:pPr>
      <w:r>
        <w:rPr>
          <w:b/>
          <w:bCs/>
        </w:rPr>
        <w:t xml:space="preserve">Statistical Analysis:</w:t>
      </w:r>
      <w:r>
        <w:t xml:space="preserve"> </w:t>
      </w:r>
      <w:r>
        <w:t xml:space="preserve">Multivariable regression models were performed to assess the independent associations of race, residential income quartile, and insurance payer type with each outcome, adjusting for:</w:t>
      </w:r>
    </w:p>
    <w:p>
      <w:pPr>
        <w:numPr>
          <w:ilvl w:val="1"/>
          <w:numId w:val="1003"/>
        </w:numPr>
      </w:pPr>
      <w:r>
        <w:rPr>
          <w:b/>
          <w:bCs/>
        </w:rPr>
        <w:t xml:space="preserve">Demographics and Clinical Factors:</w:t>
      </w:r>
      <w:r>
        <w:t xml:space="preserve"> </w:t>
      </w:r>
      <w:r>
        <w:t xml:space="preserve">Age, sex, tumor location (brain and central nervous system, meninges, or eye and adnexa), tumor type (benign or malignant), admission type (elective or non-elective), and Elixhauser comorbidity index.</w:t>
      </w:r>
    </w:p>
    <w:p>
      <w:pPr>
        <w:numPr>
          <w:ilvl w:val="1"/>
          <w:numId w:val="1003"/>
        </w:numPr>
      </w:pPr>
      <w:r>
        <w:rPr>
          <w:b/>
          <w:bCs/>
        </w:rPr>
        <w:t xml:space="preserve">Hospital Characteristics:</w:t>
      </w:r>
      <w:r>
        <w:t xml:space="preserve"> </w:t>
      </w:r>
      <w:r>
        <w:t xml:space="preserve">Hospital region, bed size, and teaching status.</w:t>
      </w:r>
    </w:p>
    <w:p>
      <w:pPr>
        <w:numPr>
          <w:ilvl w:val="0"/>
          <w:numId w:val="1001"/>
        </w:numPr>
      </w:pPr>
      <w:r>
        <w:rPr>
          <w:b/>
          <w:bCs/>
        </w:rPr>
        <w:t xml:space="preserve">Software:</w:t>
      </w:r>
      <w:r>
        <w:t xml:space="preserve"> </w:t>
      </w:r>
      <w:r>
        <w:t xml:space="preserve">Analyses were conducted using the R Statistical Language (Version 4.4.1; R Foundation for Statistical Computing, Vienna, Austria). Statistical significance was set at a two-tailed alpha of 0.05.</w:t>
      </w:r>
    </w:p>
    <w:bookmarkEnd w:id="20"/>
    <w:bookmarkStart w:id="21"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134,800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6,675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18,690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19,105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67,200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10,460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67,595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8,645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Brain and central nervous system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91,745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Eye and adnexa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Meninges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6,275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Malignant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84,185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11,420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55,415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69,880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11,550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96,940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12,620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9,765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17,370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134,800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 or Pacific Islander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6,675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18,690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19,105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94,256 (50,102, 159,880)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124,803 (61,676, 207,696)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98,239 (45,734, 178,458)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118,803 (59,106, 204,985)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109,795 (54,572, 181,262)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Start w:id="24" w:name="multivariable-logistic-regression"/>
    <w:p>
      <w:pPr>
        <w:pStyle w:val="Heading2"/>
      </w:pPr>
      <w:r>
        <w:t xml:space="preserve">Multivariable Logistic Regression:</w:t>
      </w:r>
    </w:p>
    <w:bookmarkStart w:id="23"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Brain and central nervous system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Eye and adnexa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Meninges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Malignant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3"/>
    <w:bookmarkEnd w:id="24"/>
    <w:bookmarkStart w:id="27" w:name="multivariable-linear-regression"/>
    <w:p>
      <w:pPr>
        <w:pStyle w:val="Heading2"/>
      </w:pPr>
      <w:r>
        <w:t xml:space="preserve">Multivariable Linear Regression:</w:t>
      </w:r>
    </w:p>
    <w:bookmarkStart w:id="25"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Brain and central nervous system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Eye and adnexa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Meninges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Malignant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5"/>
    <w:bookmarkStart w:id="26"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9,052, 28,672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-106, 11,867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11,549, 25,905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7,153, 32,729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-1,676, -1,285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840, 6,902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location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Brain and central nervous system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Eye and adnexa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-52,190, -26,475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Meninges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-10,456, 952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Benign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Malignant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-46,100, -33,085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-4,258, 4,374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-4,748, 4,674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-9,431, 5,409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-17,738, 84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-13,554,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-4,927, 3,395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13,934, 16,605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22,574, 42,069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2,462, 16,367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45,477, 64,170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-22,924, -10,249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-33,126, -16,718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37,165, 58,309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49,430, 66,500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Pays the Price? Race, Socioeconomic Factors, and Outcomes in Intracranial Tumor Care</dc:title>
  <dc:creator>Ali Salman</dc:creator>
  <cp:keywords/>
  <dcterms:created xsi:type="dcterms:W3CDTF">2024-11-17T11:14:48Z</dcterms:created>
  <dcterms:modified xsi:type="dcterms:W3CDTF">2024-11-17T11:14:48Z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Sep Surg1</vt:lpwstr>
  </property>
  <property fmtid="{D5CDD505-2E9C-101B-9397-08002B2CF9AE}" pid="12" name="toc-title">
    <vt:lpwstr>Table of contents</vt:lpwstr>
  </property>
</Properties>
</file>