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 and Ethnic Disparities in the Utilization of Mechanical Circulatory Support for Cardiogenic Shock Following Acute Myocardial Infarction</w:t>
      </w:r>
    </w:p>
    <w:p>
      <w:pPr>
        <w:pStyle w:val="Subtitle"/>
      </w:pPr>
      <w:r>
        <w:t xml:space="preserve">NIS Analysis for the RCOP Match Mentorship Program</w:t>
      </w:r>
    </w:p>
    <w:p>
      <w:pPr>
        <w:pStyle w:val="Author"/>
      </w:pPr>
      <w:r>
        <w:t xml:space="preserve">Ali 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Modi et al., 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  <w:r>
        <w:t xml:space="preserve"> </w:t>
      </w:r>
      <w:r>
        <w:t xml:space="preserve">To examine racial and ethnic disparities in in-hospital outcomes, healthcare resource utilization, and the use of mechanical circulatory support (MCS) among patients hospitalized with acute myocardial infarction (AMI) complicated by cardiogenic shock (CS), using a nationally representative U.S. database.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Retrospective cross-sectional analysis of the National Inpatient Sample (NIS) from 2018 to 2020. The NIS is maintained by the Healthcare Cost and Utilization Project (HCUP) and provides a stratified, nationally representative sample of U.S. inpatient hospital discharges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Diagnosis of acute myocardial infarction (AMI): ICD-10-CM codes I21.0–I21.4 (I21.9 was excluded to avoid unspecified AMI)</w:t>
      </w:r>
    </w:p>
    <w:p>
      <w:pPr>
        <w:numPr>
          <w:ilvl w:val="1"/>
          <w:numId w:val="1003"/>
        </w:numPr>
      </w:pPr>
      <w:r>
        <w:t xml:space="preserve">Concurrent diagnosis of cardiogenic shock: ICD-10-CM code R57.0</w:t>
      </w:r>
    </w:p>
    <w:p>
      <w:pPr>
        <w:numPr>
          <w:ilvl w:val="1"/>
          <w:numId w:val="1003"/>
        </w:numPr>
      </w:pPr>
      <w:r>
        <w:t xml:space="preserve">Non-missing values for AMI type and race/ethnicity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Exclusions:</w:t>
      </w:r>
      <w:r>
        <w:t xml:space="preserve"> </w:t>
      </w:r>
      <w:r>
        <w:t xml:space="preserve">if transferred into or out of the hospital, to ensure full capture of the index hospitalization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Exposure of Interest:</w:t>
      </w:r>
      <w:r>
        <w:t xml:space="preserve"> </w:t>
      </w:r>
      <w:r>
        <w:t xml:space="preserve">Patient race and ethnicity, categorized as</w:t>
      </w:r>
    </w:p>
    <w:p>
      <w:pPr>
        <w:numPr>
          <w:ilvl w:val="1"/>
          <w:numId w:val="1004"/>
        </w:numPr>
      </w:pPr>
      <w:r>
        <w:t xml:space="preserve">White (reference group)</w:t>
      </w:r>
    </w:p>
    <w:p>
      <w:pPr>
        <w:numPr>
          <w:ilvl w:val="1"/>
          <w:numId w:val="1004"/>
        </w:numPr>
      </w:pPr>
      <w:r>
        <w:t xml:space="preserve">Black</w:t>
      </w:r>
    </w:p>
    <w:p>
      <w:pPr>
        <w:numPr>
          <w:ilvl w:val="1"/>
          <w:numId w:val="1004"/>
        </w:numPr>
      </w:pPr>
      <w:r>
        <w:t xml:space="preserve">Hispanic</w:t>
      </w:r>
    </w:p>
    <w:p>
      <w:pPr>
        <w:numPr>
          <w:ilvl w:val="1"/>
          <w:numId w:val="1004"/>
        </w:numPr>
      </w:pPr>
      <w:r>
        <w:t xml:space="preserve">Asian or Pacific Islander</w:t>
      </w:r>
    </w:p>
    <w:p>
      <w:pPr>
        <w:numPr>
          <w:ilvl w:val="1"/>
          <w:numId w:val="1004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Primary Outcome:</w:t>
      </w:r>
    </w:p>
    <w:p>
      <w:pPr>
        <w:pStyle w:val="Compact"/>
        <w:numPr>
          <w:ilvl w:val="2"/>
          <w:numId w:val="1006"/>
        </w:numPr>
      </w:pPr>
      <w:r>
        <w:t xml:space="preserve">In-hospital mortality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7"/>
        </w:numPr>
      </w:pPr>
      <w:r>
        <w:t xml:space="preserve">Length of stay (LOS), in days</w:t>
      </w:r>
    </w:p>
    <w:p>
      <w:pPr>
        <w:numPr>
          <w:ilvl w:val="2"/>
          <w:numId w:val="1007"/>
        </w:numPr>
      </w:pPr>
      <w:r>
        <w:t xml:space="preserve">Inflation-adjusted total hospital charges (in 2020 USD)</w:t>
      </w:r>
    </w:p>
    <w:p>
      <w:pPr>
        <w:numPr>
          <w:ilvl w:val="2"/>
          <w:numId w:val="1007"/>
        </w:numPr>
      </w:pPr>
      <w:r>
        <w:t xml:space="preserve">Use of mechanical circulatory support (ECMO, IABP, VAD)</w:t>
      </w:r>
    </w:p>
    <w:p>
      <w:pPr>
        <w:numPr>
          <w:ilvl w:val="2"/>
          <w:numId w:val="1007"/>
        </w:numPr>
      </w:pPr>
      <w:r>
        <w:t xml:space="preserve">Favorable discharge (defined as routine discharge to home or home health care)</w:t>
      </w:r>
    </w:p>
    <w:p>
      <w:pPr>
        <w:numPr>
          <w:ilvl w:val="2"/>
          <w:numId w:val="1007"/>
        </w:numPr>
      </w:pPr>
      <w:r>
        <w:t xml:space="preserve">Acute kidney injury (AKI) or receipt of hemodialysis</w:t>
      </w:r>
    </w:p>
    <w:p>
      <w:pPr>
        <w:numPr>
          <w:ilvl w:val="2"/>
          <w:numId w:val="1007"/>
        </w:numPr>
      </w:pPr>
      <w:r>
        <w:t xml:space="preserve">Sepsis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 (ICD-10-CM/PCS Codes):</w:t>
      </w:r>
    </w:p>
    <w:p>
      <w:pPr>
        <w:numPr>
          <w:ilvl w:val="1"/>
          <w:numId w:val="1008"/>
        </w:numPr>
      </w:pPr>
      <w:r>
        <w:t xml:space="preserve">Acute Myocardial Infarction (AMI):</w:t>
      </w:r>
    </w:p>
    <w:p>
      <w:pPr>
        <w:numPr>
          <w:ilvl w:val="2"/>
          <w:numId w:val="1009"/>
        </w:numPr>
      </w:pPr>
      <w:r>
        <w:t xml:space="preserve">ICD-10-CM: I21.0–I21.4</w:t>
      </w:r>
    </w:p>
    <w:p>
      <w:pPr>
        <w:numPr>
          <w:ilvl w:val="2"/>
          <w:numId w:val="1009"/>
        </w:numPr>
      </w:pPr>
      <w:r>
        <w:t xml:space="preserve">Excluded: I21.9 (unspecified AMI)</w:t>
      </w:r>
    </w:p>
    <w:p>
      <w:pPr>
        <w:numPr>
          <w:ilvl w:val="1"/>
          <w:numId w:val="1008"/>
        </w:numPr>
      </w:pPr>
      <w:r>
        <w:t xml:space="preserve">Cardiogenic Shock:</w:t>
      </w:r>
    </w:p>
    <w:p>
      <w:pPr>
        <w:pStyle w:val="Compact"/>
        <w:numPr>
          <w:ilvl w:val="2"/>
          <w:numId w:val="1010"/>
        </w:numPr>
      </w:pPr>
      <w:r>
        <w:t xml:space="preserve">ICD-10-CM: R57.0</w:t>
      </w:r>
    </w:p>
    <w:p>
      <w:pPr>
        <w:numPr>
          <w:ilvl w:val="1"/>
          <w:numId w:val="1008"/>
        </w:numPr>
      </w:pPr>
      <w:r>
        <w:t xml:space="preserve">Percutaneous Coronary Intervention (PCI):</w:t>
      </w:r>
    </w:p>
    <w:p>
      <w:pPr>
        <w:pStyle w:val="Compact"/>
        <w:numPr>
          <w:ilvl w:val="2"/>
          <w:numId w:val="1011"/>
        </w:numPr>
      </w:pPr>
      <w:r>
        <w:t xml:space="preserve">ICD-10-PCS: A comprehensive list including codes such as</w:t>
      </w:r>
      <w:r>
        <w:br/>
      </w:r>
      <w:r>
        <w:rPr>
          <w:rStyle w:val="VerbatimChar"/>
        </w:rPr>
        <w:t xml:space="preserve">02703ZZ</w:t>
      </w:r>
      <w:r>
        <w:t xml:space="preserve">,</w:t>
      </w:r>
      <w:r>
        <w:t xml:space="preserve"> </w:t>
      </w:r>
      <w:r>
        <w:rPr>
          <w:rStyle w:val="VerbatimChar"/>
        </w:rPr>
        <w:t xml:space="preserve">02713ZZ</w:t>
      </w:r>
      <w:r>
        <w:t xml:space="preserve">,</w:t>
      </w:r>
      <w:r>
        <w:t xml:space="preserve"> </w:t>
      </w:r>
      <w:r>
        <w:rPr>
          <w:rStyle w:val="VerbatimChar"/>
        </w:rPr>
        <w:t xml:space="preserve">02723ZZ</w:t>
      </w:r>
      <w:r>
        <w:t xml:space="preserve">,</w:t>
      </w:r>
      <w:r>
        <w:t xml:space="preserve"> </w:t>
      </w:r>
      <w:r>
        <w:rPr>
          <w:rStyle w:val="VerbatimChar"/>
        </w:rPr>
        <w:t xml:space="preserve">02733ZZ</w:t>
      </w:r>
      <w:r>
        <w:t xml:space="preserve">, and others representing balloon angioplasty and stent placement across multiple coronary sites</w:t>
      </w:r>
    </w:p>
    <w:p>
      <w:pPr>
        <w:numPr>
          <w:ilvl w:val="1"/>
          <w:numId w:val="1008"/>
        </w:numPr>
      </w:pPr>
      <w:r>
        <w:t xml:space="preserve">Mechanical Circulatory Support (MCS):</w:t>
      </w:r>
    </w:p>
    <w:p>
      <w:pPr>
        <w:numPr>
          <w:ilvl w:val="2"/>
          <w:numId w:val="1012"/>
        </w:numPr>
      </w:pPr>
      <w:r>
        <w:t xml:space="preserve">ICD-10-PCS:</w:t>
      </w:r>
    </w:p>
    <w:p>
      <w:pPr>
        <w:numPr>
          <w:ilvl w:val="3"/>
          <w:numId w:val="1013"/>
        </w:numPr>
      </w:pPr>
      <w:r>
        <w:t xml:space="preserve">IABP: 5A02110, 5A02210</w:t>
      </w:r>
    </w:p>
    <w:p>
      <w:pPr>
        <w:numPr>
          <w:ilvl w:val="3"/>
          <w:numId w:val="1013"/>
        </w:numPr>
      </w:pPr>
      <w:r>
        <w:t xml:space="preserve">Short-term VADs: 5A02115, 5A02116, 5A0211D, 5A02215, 5A02216, 5A0221D</w:t>
      </w:r>
    </w:p>
    <w:p>
      <w:pPr>
        <w:numPr>
          <w:ilvl w:val="3"/>
          <w:numId w:val="1013"/>
        </w:numPr>
      </w:pPr>
      <w:r>
        <w:t xml:space="preserve">ECMO: 5A0920Z, 5A15223, 5A1522F, 5A1522G, 5A1522H</w:t>
      </w:r>
    </w:p>
    <w:p>
      <w:pPr>
        <w:numPr>
          <w:ilvl w:val="1"/>
          <w:numId w:val="1008"/>
        </w:numPr>
      </w:pPr>
      <w:r>
        <w:t xml:space="preserve">Acute Kidney Injury (AKI):</w:t>
      </w:r>
    </w:p>
    <w:p>
      <w:pPr>
        <w:pStyle w:val="Compact"/>
        <w:numPr>
          <w:ilvl w:val="2"/>
          <w:numId w:val="1014"/>
        </w:numPr>
      </w:pPr>
      <w:r>
        <w:t xml:space="preserve">ICD-10-CM: N17.x</w:t>
      </w:r>
    </w:p>
    <w:p>
      <w:pPr>
        <w:numPr>
          <w:ilvl w:val="1"/>
          <w:numId w:val="1008"/>
        </w:numPr>
      </w:pPr>
      <w:r>
        <w:t xml:space="preserve">Hemodialysis Procedures:</w:t>
      </w:r>
    </w:p>
    <w:p>
      <w:pPr>
        <w:pStyle w:val="Compact"/>
        <w:numPr>
          <w:ilvl w:val="2"/>
          <w:numId w:val="1015"/>
        </w:numPr>
      </w:pPr>
      <w:r>
        <w:t xml:space="preserve">ICD-10-PCS: 5A1D00Z, 5A1D60Z, 5A1D70Z, 5A1D80Z, 5A1D90Z</w:t>
      </w:r>
    </w:p>
    <w:p>
      <w:pPr>
        <w:numPr>
          <w:ilvl w:val="1"/>
          <w:numId w:val="1008"/>
        </w:numPr>
      </w:pPr>
      <w:r>
        <w:t xml:space="preserve">Sepsis:</w:t>
      </w:r>
    </w:p>
    <w:p>
      <w:pPr>
        <w:pStyle w:val="Compact"/>
        <w:numPr>
          <w:ilvl w:val="2"/>
          <w:numId w:val="1016"/>
        </w:numPr>
      </w:pPr>
      <w:r>
        <w:t xml:space="preserve">ICD-10-CM: A wide range of codes including</w:t>
      </w:r>
      <w:r>
        <w:br/>
      </w:r>
      <w:r>
        <w:rPr>
          <w:rStyle w:val="VerbatimChar"/>
        </w:rPr>
        <w:t xml:space="preserve">A021</w:t>
      </w:r>
      <w:r>
        <w:t xml:space="preserve">,</w:t>
      </w:r>
      <w:r>
        <w:t xml:space="preserve"> </w:t>
      </w:r>
      <w:r>
        <w:rPr>
          <w:rStyle w:val="VerbatimChar"/>
        </w:rPr>
        <w:t xml:space="preserve">A40.x</w:t>
      </w:r>
      <w:r>
        <w:t xml:space="preserve">,</w:t>
      </w:r>
      <w:r>
        <w:t xml:space="preserve"> </w:t>
      </w:r>
      <w:r>
        <w:rPr>
          <w:rStyle w:val="VerbatimChar"/>
        </w:rPr>
        <w:t xml:space="preserve">A41.x</w:t>
      </w:r>
      <w:r>
        <w:t xml:space="preserve">,</w:t>
      </w:r>
      <w:r>
        <w:t xml:space="preserve"> </w:t>
      </w:r>
      <w:r>
        <w:rPr>
          <w:rStyle w:val="VerbatimChar"/>
        </w:rPr>
        <w:t xml:space="preserve">R6520</w:t>
      </w:r>
      <w:r>
        <w:t xml:space="preserve">,</w:t>
      </w:r>
      <w:r>
        <w:t xml:space="preserve"> </w:t>
      </w:r>
      <w:r>
        <w:rPr>
          <w:rStyle w:val="VerbatimChar"/>
        </w:rPr>
        <w:t xml:space="preserve">R6521</w:t>
      </w:r>
      <w:r>
        <w:t xml:space="preserve">,</w:t>
      </w:r>
      <w:r>
        <w:t xml:space="preserve"> </w:t>
      </w:r>
      <w:r>
        <w:rPr>
          <w:rStyle w:val="VerbatimChar"/>
        </w:rPr>
        <w:t xml:space="preserve">T8112XA</w:t>
      </w:r>
      <w:r>
        <w:t xml:space="preserve">,</w:t>
      </w:r>
      <w:r>
        <w:t xml:space="preserve"> </w:t>
      </w:r>
      <w:r>
        <w:rPr>
          <w:rStyle w:val="VerbatimChar"/>
        </w:rPr>
        <w:t xml:space="preserve">T8144XA</w:t>
      </w:r>
      <w:r>
        <w:t xml:space="preserve">, and obstetric/pediatric-specific codes such as</w:t>
      </w:r>
      <w:r>
        <w:t xml:space="preserve"> </w:t>
      </w:r>
      <w:r>
        <w:rPr>
          <w:rStyle w:val="VerbatimChar"/>
        </w:rPr>
        <w:t xml:space="preserve">O85</w:t>
      </w:r>
      <w:r>
        <w:t xml:space="preserve">,</w:t>
      </w:r>
      <w:r>
        <w:t xml:space="preserve"> </w:t>
      </w:r>
      <w:r>
        <w:rPr>
          <w:rStyle w:val="VerbatimChar"/>
        </w:rPr>
        <w:t xml:space="preserve">P360</w:t>
      </w:r>
      <w:r>
        <w:t xml:space="preserve">, etc.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regression models adjusted for the following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 (continuous), sex, race/ethnicity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code–based income quartile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Type of AMI (STEMI vs NSTEMI), receipt of PCI, number of comorbidities (Elixhauser index), APR-DRG risk of mortality score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and teaching status/location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8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19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19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18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20"/>
        </w:numPr>
      </w:pPr>
      <w:r>
        <w:t xml:space="preserve">Binary outcomes (e.g., mortality, MCS, AKI, sepsis, favorable discharge):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20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20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61,395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4,205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9,490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4,210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57,620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39,975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28,405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43,880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4,640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53,030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25,080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48,005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33,070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68,425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46,260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78,220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53,510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3,730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8,635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79,840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54,550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8,980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61,395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4,205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9,490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4,210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43,580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144,893 (76,975, 261,811)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134,346 (71,981, 241,256)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176,731 (100,236, 316,553)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140,699 (73,964, 255,476)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196,202 (109,794, 364,077)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163,226 (88,219, 327,612)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circulatory 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injury/hemodialysis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50,965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33,480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9" w:name="multivariable-logistic-regression"/>
    <w:p>
      <w:pPr>
        <w:pStyle w:val="Heading2"/>
      </w:pPr>
      <w:r>
        <w:t xml:space="preserve">Multivariable logistic regression:</w:t>
      </w:r>
    </w:p>
    <w:bookmarkStart w:id="24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1.60, 2.35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mechanical-circulatory-support"/>
    <w:p>
      <w:pPr>
        <w:pStyle w:val="Heading3"/>
      </w:pPr>
      <w:r>
        <w:t xml:space="preserve">Mechanical circulatory support: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3.42, 4.06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favorable-discharge"/>
    <w:p>
      <w:pPr>
        <w:pStyle w:val="Heading3"/>
      </w:pPr>
      <w:r>
        <w:t xml:space="preserve">Favorable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4.13, 5.38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4.14, 8.33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cute-kidney-injuryhemodialysis"/>
    <w:p>
      <w:pPr>
        <w:pStyle w:val="Heading3"/>
      </w:pPr>
      <w:r>
        <w:t xml:space="preserve">Acute kidney injury/hemodialysis: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bookmarkStart w:id="32" w:name="multivariable-linear-regression"/>
    <w:p>
      <w:pPr>
        <w:pStyle w:val="Heading2"/>
      </w:pPr>
      <w:r>
        <w:t xml:space="preserve">Multivariable linear regression:</w:t>
      </w:r>
    </w:p>
    <w:bookmarkStart w:id="30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-2.8, 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Start w:id="31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8,954, 58,520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-13,602, 10,834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39,307, 68,233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13,406, 49,056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-2,344, -1,650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21,911, 35,093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NSTEMI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anterior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-17,553, 3,182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inferior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-44,815, -26,410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other 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-36,096, -3,865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STEMI of 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-25,971, -662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 (PCI)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56,259, 72,481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-33,001, -4,967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-21,849, 13,402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-12,605, 18,051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-4,709, 13,911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-6,728, 13,633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4,357, 28,549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31,727, 59,598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42,717, 61,571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80,670, 109,404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-35,587, -14,100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-49,129, -23,161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43,849, 71,722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60,069, 83,755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-46,135, -30,312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-70,911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-82,980, -58,842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14,750, 18,631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acc.org/doi/10.1016/j.jacc.2024.09.3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acc.org/doi/10.1016/j.jacc.2024.09.3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and Ethnic Disparities in the Utilization of Mechanical Circulatory Support for Cardiogenic Shock Following Acute Myocardial Infarction</dc:title>
  <dc:creator>Ali Salman</dc:creator>
  <cp:keywords/>
  <dcterms:created xsi:type="dcterms:W3CDTF">2025-05-13T19:12:22Z</dcterms:created>
  <dcterms:modified xsi:type="dcterms:W3CDTF">2025-05-13T19:12:22Z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NIS Analysis for the RCOP Match Mentorship Program</vt:lpwstr>
  </property>
  <property fmtid="{D5CDD505-2E9C-101B-9397-08002B2CF9AE}" pid="12" name="toc-title">
    <vt:lpwstr>Table of contents</vt:lpwstr>
  </property>
</Properties>
</file>