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In-Hospital Outcomes Associated with Left Atrial Appendage Closure in Patients with Atrial Fibrillation and Heart Failure with Reduced Ejection Fraction</w:t>
      </w:r>
    </w:p>
    <w:p>
      <w:pPr>
        <w:pStyle w:val="Subtitle"/>
      </w:pPr>
      <w:r>
        <w:t xml:space="preserve">NIS Analysis for the RCOP Match Mentorship Program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  <w:r>
        <w:t xml:space="preserve"> </w:t>
      </w:r>
      <w:r>
        <w:t xml:space="preserve">To evaluate the association between left atrial appendage closure (LAAC) and in-hospital outcomes and resource utilization among patients hospitalized with atrial fibrillation (AF) and heart failure with reduced ejection fraction (HFrEF), using a nationally representative U.S. inpatient database.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Retrospective cross-sectional analysis using the National Inpatient Sample (NIS) from 2018 to 2020. The NIS, part of the Healthcare Cost and Utilization Project (HCUP), includes a stratified 20% sample of all U.S. hospital discharges across payers and hospital types.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all of the following criteria</w:t>
      </w:r>
    </w:p>
    <w:p>
      <w:pPr>
        <w:numPr>
          <w:ilvl w:val="1"/>
          <w:numId w:val="1002"/>
        </w:numPr>
      </w:pPr>
      <w:r>
        <w:t xml:space="preserve">Age ≥18 years</w:t>
      </w:r>
    </w:p>
    <w:p>
      <w:pPr>
        <w:numPr>
          <w:ilvl w:val="1"/>
          <w:numId w:val="1002"/>
        </w:numPr>
      </w:pPr>
      <w:r>
        <w:t xml:space="preserve">Diagnosis (principal/secondary) of atrial fibrillation (AF): ICD-10-CM codes</w:t>
      </w:r>
      <w:r>
        <w:t xml:space="preserve"> </w:t>
      </w:r>
      <w:r>
        <w:rPr>
          <w:rStyle w:val="VerbatimChar"/>
        </w:rPr>
        <w:t xml:space="preserve">I48.*</w:t>
      </w:r>
    </w:p>
    <w:p>
      <w:pPr>
        <w:numPr>
          <w:ilvl w:val="1"/>
          <w:numId w:val="1002"/>
        </w:numPr>
      </w:pPr>
      <w:r>
        <w:t xml:space="preserve">Diagnosis (principal/secondary) of heart failure with reduced ejection fraction (HFrEF): ICD-10-CM codes</w:t>
      </w:r>
      <w:r>
        <w:t xml:space="preserve"> </w:t>
      </w:r>
      <w:r>
        <w:rPr>
          <w:rStyle w:val="VerbatimChar"/>
        </w:rPr>
        <w:t xml:space="preserve">I502.*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I504.*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Excluded:</w:t>
      </w:r>
      <w:r>
        <w:t xml:space="preserve"> </w:t>
      </w:r>
      <w:r>
        <w:t xml:space="preserve">HF with preserved EF (</w:t>
      </w:r>
      <w:r>
        <w:rPr>
          <w:rStyle w:val="VerbatimChar"/>
        </w:rPr>
        <w:t xml:space="preserve">I503.*</w:t>
      </w:r>
      <w:r>
        <w:t xml:space="preserve">), other/unspecified HF (</w:t>
      </w:r>
      <w:r>
        <w:rPr>
          <w:rStyle w:val="VerbatimChar"/>
        </w:rPr>
        <w:t xml:space="preserve">I508.*</w:t>
      </w:r>
      <w:r>
        <w:t xml:space="preserve">,</w:t>
      </w:r>
      <w:r>
        <w:t xml:space="preserve"> </w:t>
      </w:r>
      <w:r>
        <w:rPr>
          <w:rStyle w:val="VerbatimChar"/>
        </w:rPr>
        <w:t xml:space="preserve">I509.*</w:t>
      </w:r>
      <w:r>
        <w:t xml:space="preserve">)</w:t>
      </w:r>
    </w:p>
    <w:p>
      <w:pPr>
        <w:numPr>
          <w:ilvl w:val="1"/>
          <w:numId w:val="1002"/>
        </w:numPr>
      </w:pPr>
      <w:r>
        <w:t xml:space="preserve">Non-missing documentation of LAAC procedure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Exposure of Interest:</w:t>
      </w:r>
      <w:r>
        <w:t xml:space="preserve"> </w:t>
      </w:r>
      <w:r>
        <w:t xml:space="preserve">Undergoing LAAC during hospitalization</w:t>
      </w:r>
    </w:p>
    <w:p>
      <w:pPr>
        <w:numPr>
          <w:ilvl w:val="1"/>
          <w:numId w:val="1004"/>
        </w:numPr>
      </w:pPr>
      <w:r>
        <w:t xml:space="preserve">Catheter-Based LAAC Procedures: Defined using ICD-10-PCS procedure codes for percutaneous and percutaneous-endoscopic occlusion of the left atrial appendage:</w:t>
      </w:r>
      <w:r>
        <w:t xml:space="preserve"> </w:t>
      </w:r>
      <w:r>
        <w:rPr>
          <w:rStyle w:val="VerbatimChar"/>
        </w:rPr>
        <w:t xml:space="preserve">02L73DK.*</w:t>
      </w:r>
      <w:r>
        <w:t xml:space="preserve">,</w:t>
      </w:r>
      <w:r>
        <w:t xml:space="preserve"> </w:t>
      </w:r>
      <w:r>
        <w:rPr>
          <w:rStyle w:val="VerbatimChar"/>
        </w:rPr>
        <w:t xml:space="preserve">02L73CK.*</w:t>
      </w:r>
      <w:r>
        <w:t xml:space="preserve">,</w:t>
      </w:r>
      <w:r>
        <w:t xml:space="preserve"> </w:t>
      </w:r>
      <w:r>
        <w:rPr>
          <w:rStyle w:val="VerbatimChar"/>
        </w:rPr>
        <w:t xml:space="preserve">02L73ZK.*</w:t>
      </w:r>
      <w:r>
        <w:t xml:space="preserve">,</w:t>
      </w:r>
      <w:r>
        <w:t xml:space="preserve"> </w:t>
      </w:r>
      <w:r>
        <w:rPr>
          <w:rStyle w:val="VerbatimChar"/>
        </w:rPr>
        <w:t xml:space="preserve">02L74DK.*</w:t>
      </w:r>
      <w:r>
        <w:t xml:space="preserve">,</w:t>
      </w:r>
      <w:r>
        <w:t xml:space="preserve"> </w:t>
      </w:r>
      <w:r>
        <w:rPr>
          <w:rStyle w:val="VerbatimChar"/>
        </w:rPr>
        <w:t xml:space="preserve">02L74CK.*</w:t>
      </w:r>
      <w:r>
        <w:t xml:space="preserve">,</w:t>
      </w:r>
      <w:r>
        <w:t xml:space="preserve"> </w:t>
      </w:r>
      <w:r>
        <w:rPr>
          <w:rStyle w:val="VerbatimChar"/>
        </w:rPr>
        <w:t xml:space="preserve">02L74ZK.*</w:t>
      </w:r>
    </w:p>
    <w:p>
      <w:pPr>
        <w:numPr>
          <w:ilvl w:val="1"/>
          <w:numId w:val="1004"/>
        </w:numPr>
      </w:pPr>
      <w:r>
        <w:t xml:space="preserve">This includes intraluminal devices (e.g., Watchman®, Amulet®), extraluminal devices (e.g., LARIAT®), and suture-based approaches.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Primary Outcome:</w:t>
      </w:r>
    </w:p>
    <w:p>
      <w:pPr>
        <w:pStyle w:val="Compact"/>
        <w:numPr>
          <w:ilvl w:val="2"/>
          <w:numId w:val="1006"/>
        </w:numPr>
      </w:pPr>
      <w:r>
        <w:t xml:space="preserve">In-hospital mortality</w:t>
      </w:r>
    </w:p>
    <w:p>
      <w:pPr>
        <w:pStyle w:val="Compact"/>
        <w:numPr>
          <w:ilvl w:val="2"/>
          <w:numId w:val="1006"/>
        </w:numPr>
      </w:pPr>
      <w:r>
        <w:t xml:space="preserve">Length of stay (LOS), in days</w:t>
      </w:r>
    </w:p>
    <w:p>
      <w:pPr>
        <w:pStyle w:val="Compact"/>
        <w:numPr>
          <w:ilvl w:val="2"/>
          <w:numId w:val="1006"/>
        </w:numPr>
      </w:pPr>
      <w:r>
        <w:t xml:space="preserve">Inflation-adjusted total hospital charges (in 2020 USD)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7"/>
        </w:numPr>
      </w:pPr>
      <w:r>
        <w:t xml:space="preserve">In-hospital stroke</w:t>
      </w:r>
    </w:p>
    <w:p>
      <w:pPr>
        <w:numPr>
          <w:ilvl w:val="2"/>
          <w:numId w:val="1007"/>
        </w:numPr>
      </w:pPr>
      <w:r>
        <w:t xml:space="preserve">Cardiogenic shock</w:t>
      </w:r>
    </w:p>
    <w:p>
      <w:pPr>
        <w:numPr>
          <w:ilvl w:val="2"/>
          <w:numId w:val="1007"/>
        </w:numPr>
      </w:pPr>
      <w:r>
        <w:t xml:space="preserve">Major bleeding</w:t>
      </w:r>
    </w:p>
    <w:p>
      <w:pPr>
        <w:numPr>
          <w:ilvl w:val="2"/>
          <w:numId w:val="1007"/>
        </w:numPr>
      </w:pPr>
      <w:r>
        <w:t xml:space="preserve">Favorable discharge disposition (defined as routine discharge to home)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 (ICD-10-CM/PCS Codes):</w:t>
      </w:r>
    </w:p>
    <w:p>
      <w:pPr>
        <w:numPr>
          <w:ilvl w:val="1"/>
          <w:numId w:val="1008"/>
        </w:numPr>
      </w:pPr>
      <w:r>
        <w:t xml:space="preserve">Stroke:</w:t>
      </w:r>
    </w:p>
    <w:p>
      <w:pPr>
        <w:numPr>
          <w:ilvl w:val="2"/>
          <w:numId w:val="1009"/>
        </w:numPr>
      </w:pPr>
      <w:r>
        <w:t xml:space="preserve">ICD-10-CM:</w:t>
      </w:r>
      <w:r>
        <w:t xml:space="preserve"> </w:t>
      </w:r>
      <w:r>
        <w:rPr>
          <w:rStyle w:val="VerbatimChar"/>
        </w:rPr>
        <w:t xml:space="preserve">I60.*</w:t>
      </w:r>
      <w:r>
        <w:t xml:space="preserve">,</w:t>
      </w:r>
      <w:r>
        <w:t xml:space="preserve"> </w:t>
      </w:r>
      <w:r>
        <w:rPr>
          <w:rStyle w:val="VerbatimChar"/>
        </w:rPr>
        <w:t xml:space="preserve">I61.*</w:t>
      </w:r>
      <w:r>
        <w:t xml:space="preserve">,</w:t>
      </w:r>
      <w:r>
        <w:t xml:space="preserve"> </w:t>
      </w:r>
      <w:r>
        <w:rPr>
          <w:rStyle w:val="VerbatimChar"/>
        </w:rPr>
        <w:t xml:space="preserve">I62.*</w:t>
      </w:r>
      <w:r>
        <w:t xml:space="preserve">,</w:t>
      </w:r>
      <w:r>
        <w:t xml:space="preserve"> </w:t>
      </w:r>
      <w:r>
        <w:rPr>
          <w:rStyle w:val="VerbatimChar"/>
        </w:rPr>
        <w:t xml:space="preserve">I63.*</w:t>
      </w:r>
      <w:r>
        <w:t xml:space="preserve">,</w:t>
      </w:r>
      <w:r>
        <w:t xml:space="preserve"> </w:t>
      </w:r>
      <w:r>
        <w:rPr>
          <w:rStyle w:val="VerbatimChar"/>
        </w:rPr>
        <w:t xml:space="preserve">G43601</w:t>
      </w:r>
      <w:r>
        <w:t xml:space="preserve">,</w:t>
      </w:r>
      <w:r>
        <w:t xml:space="preserve"> </w:t>
      </w:r>
      <w:r>
        <w:rPr>
          <w:rStyle w:val="VerbatimChar"/>
        </w:rPr>
        <w:t xml:space="preserve">G43609</w:t>
      </w:r>
      <w:r>
        <w:t xml:space="preserve">,</w:t>
      </w:r>
      <w:r>
        <w:t xml:space="preserve"> </w:t>
      </w:r>
      <w:r>
        <w:rPr>
          <w:rStyle w:val="VerbatimChar"/>
        </w:rPr>
        <w:t xml:space="preserve">G43611</w:t>
      </w:r>
      <w:r>
        <w:t xml:space="preserve">,</w:t>
      </w:r>
      <w:r>
        <w:t xml:space="preserve"> </w:t>
      </w:r>
      <w:r>
        <w:rPr>
          <w:rStyle w:val="VerbatimChar"/>
        </w:rPr>
        <w:t xml:space="preserve">G43619</w:t>
      </w:r>
      <w:r>
        <w:t xml:space="preserve">,</w:t>
      </w:r>
      <w:r>
        <w:t xml:space="preserve"> </w:t>
      </w:r>
      <w:r>
        <w:rPr>
          <w:rStyle w:val="VerbatimChar"/>
        </w:rPr>
        <w:t xml:space="preserve">I97810</w:t>
      </w:r>
      <w:r>
        <w:t xml:space="preserve">,</w:t>
      </w:r>
      <w:r>
        <w:t xml:space="preserve"> </w:t>
      </w:r>
      <w:r>
        <w:rPr>
          <w:rStyle w:val="VerbatimChar"/>
        </w:rPr>
        <w:t xml:space="preserve">I97811</w:t>
      </w:r>
      <w:r>
        <w:t xml:space="preserve">,</w:t>
      </w:r>
      <w:r>
        <w:t xml:space="preserve"> </w:t>
      </w:r>
      <w:r>
        <w:rPr>
          <w:rStyle w:val="VerbatimChar"/>
        </w:rPr>
        <w:t xml:space="preserve">I97820</w:t>
      </w:r>
      <w:r>
        <w:t xml:space="preserve">,</w:t>
      </w:r>
      <w:r>
        <w:t xml:space="preserve"> </w:t>
      </w:r>
      <w:r>
        <w:rPr>
          <w:rStyle w:val="VerbatimChar"/>
        </w:rPr>
        <w:t xml:space="preserve">I97821</w:t>
      </w:r>
      <w:r>
        <w:t xml:space="preserve">,</w:t>
      </w:r>
      <w:r>
        <w:t xml:space="preserve"> </w:t>
      </w:r>
      <w:r>
        <w:rPr>
          <w:rStyle w:val="VerbatimChar"/>
        </w:rPr>
        <w:t xml:space="preserve">R297.*</w:t>
      </w:r>
    </w:p>
    <w:p>
      <w:pPr>
        <w:numPr>
          <w:ilvl w:val="2"/>
          <w:numId w:val="1009"/>
        </w:numPr>
      </w:pPr>
      <w:r>
        <w:t xml:space="preserve">Encompasses ischemic stroke, hemorrhagic stroke, and procedural cerebrovascular complications.</w:t>
      </w:r>
    </w:p>
    <w:p>
      <w:pPr>
        <w:numPr>
          <w:ilvl w:val="1"/>
          <w:numId w:val="1008"/>
        </w:numPr>
      </w:pPr>
      <w:r>
        <w:t xml:space="preserve">Cardiogenic Shock:</w:t>
      </w:r>
    </w:p>
    <w:p>
      <w:pPr>
        <w:pStyle w:val="Compact"/>
        <w:numPr>
          <w:ilvl w:val="2"/>
          <w:numId w:val="1010"/>
        </w:numPr>
      </w:pPr>
      <w:r>
        <w:t xml:space="preserve">ICD-10-CM:</w:t>
      </w:r>
      <w:r>
        <w:t xml:space="preserve"> </w:t>
      </w:r>
      <w:r>
        <w:rPr>
          <w:rStyle w:val="VerbatimChar"/>
        </w:rPr>
        <w:t xml:space="preserve">R570.*</w:t>
      </w:r>
    </w:p>
    <w:p>
      <w:pPr>
        <w:pStyle w:val="Compact"/>
        <w:numPr>
          <w:ilvl w:val="2"/>
          <w:numId w:val="1010"/>
        </w:numPr>
      </w:pPr>
      <w:r>
        <w:t xml:space="preserve">Includes cardiogenic and unspecified shock.</w:t>
      </w:r>
    </w:p>
    <w:p>
      <w:pPr>
        <w:numPr>
          <w:ilvl w:val="1"/>
          <w:numId w:val="1008"/>
        </w:numPr>
      </w:pPr>
      <w:r>
        <w:t xml:space="preserve">Major Bleeding:</w:t>
      </w:r>
    </w:p>
    <w:p>
      <w:pPr>
        <w:numPr>
          <w:ilvl w:val="2"/>
          <w:numId w:val="1011"/>
        </w:numPr>
      </w:pPr>
      <w:r>
        <w:t xml:space="preserve">ICD-10-CM codes:</w:t>
      </w:r>
      <w:r>
        <w:t xml:space="preserve"> </w:t>
      </w:r>
      <w:r>
        <w:rPr>
          <w:rStyle w:val="VerbatimChar"/>
        </w:rPr>
        <w:t xml:space="preserve">I6[0-2].*</w:t>
      </w:r>
      <w:r>
        <w:t xml:space="preserve">,</w:t>
      </w:r>
      <w:r>
        <w:t xml:space="preserve"> </w:t>
      </w:r>
      <w:r>
        <w:rPr>
          <w:rStyle w:val="VerbatimChar"/>
        </w:rPr>
        <w:t xml:space="preserve">I31[24].*</w:t>
      </w:r>
      <w:r>
        <w:t xml:space="preserve">,</w:t>
      </w:r>
      <w:r>
        <w:t xml:space="preserve"> </w:t>
      </w:r>
      <w:r>
        <w:rPr>
          <w:rStyle w:val="VerbatimChar"/>
        </w:rPr>
        <w:t xml:space="preserve">J942.*</w:t>
      </w:r>
      <w:r>
        <w:t xml:space="preserve">,</w:t>
      </w:r>
      <w:r>
        <w:t xml:space="preserve"> </w:t>
      </w:r>
      <w:r>
        <w:rPr>
          <w:rStyle w:val="VerbatimChar"/>
        </w:rPr>
        <w:t xml:space="preserve">K661.*</w:t>
      </w:r>
      <w:r>
        <w:t xml:space="preserve">,</w:t>
      </w:r>
      <w:r>
        <w:t xml:space="preserve"> </w:t>
      </w:r>
      <w:r>
        <w:rPr>
          <w:rStyle w:val="VerbatimChar"/>
        </w:rPr>
        <w:t xml:space="preserve">I97610.*</w:t>
      </w:r>
      <w:r>
        <w:t xml:space="preserve">,</w:t>
      </w:r>
      <w:r>
        <w:t xml:space="preserve"> </w:t>
      </w:r>
      <w:r>
        <w:rPr>
          <w:rStyle w:val="VerbatimChar"/>
        </w:rPr>
        <w:t xml:space="preserve">K2[5-8][0246].*</w:t>
      </w:r>
      <w:r>
        <w:t xml:space="preserve">,</w:t>
      </w:r>
      <w:r>
        <w:t xml:space="preserve"> </w:t>
      </w:r>
      <w:r>
        <w:rPr>
          <w:rStyle w:val="VerbatimChar"/>
        </w:rPr>
        <w:t xml:space="preserve">K29(01|21).*</w:t>
      </w:r>
      <w:r>
        <w:t xml:space="preserve">,</w:t>
      </w:r>
      <w:r>
        <w:t xml:space="preserve"> </w:t>
      </w:r>
      <w:r>
        <w:rPr>
          <w:rStyle w:val="VerbatimChar"/>
        </w:rPr>
        <w:t xml:space="preserve">K31811.*</w:t>
      </w:r>
      <w:r>
        <w:t xml:space="preserve">,</w:t>
      </w:r>
      <w:r>
        <w:t xml:space="preserve"> </w:t>
      </w:r>
      <w:r>
        <w:rPr>
          <w:rStyle w:val="VerbatimChar"/>
        </w:rPr>
        <w:t xml:space="preserve">K3182.*</w:t>
      </w:r>
      <w:r>
        <w:t xml:space="preserve">,</w:t>
      </w:r>
      <w:r>
        <w:t xml:space="preserve"> </w:t>
      </w:r>
      <w:r>
        <w:rPr>
          <w:rStyle w:val="VerbatimChar"/>
        </w:rPr>
        <w:t xml:space="preserve">K5521.*</w:t>
      </w:r>
      <w:r>
        <w:t xml:space="preserve">,</w:t>
      </w:r>
      <w:r>
        <w:t xml:space="preserve"> </w:t>
      </w:r>
      <w:r>
        <w:rPr>
          <w:rStyle w:val="VerbatimChar"/>
        </w:rPr>
        <w:t xml:space="preserve">K625.*</w:t>
      </w:r>
      <w:r>
        <w:t xml:space="preserve">,</w:t>
      </w:r>
      <w:r>
        <w:t xml:space="preserve"> </w:t>
      </w:r>
      <w:r>
        <w:rPr>
          <w:rStyle w:val="VerbatimChar"/>
        </w:rPr>
        <w:t xml:space="preserve">K57..[13].*</w:t>
      </w:r>
      <w:r>
        <w:t xml:space="preserve">,</w:t>
      </w:r>
      <w:r>
        <w:t xml:space="preserve"> </w:t>
      </w:r>
      <w:r>
        <w:rPr>
          <w:rStyle w:val="VerbatimChar"/>
        </w:rPr>
        <w:t xml:space="preserve">K92[0-2].*</w:t>
      </w:r>
      <w:r>
        <w:t xml:space="preserve">,</w:t>
      </w:r>
      <w:r>
        <w:t xml:space="preserve"> </w:t>
      </w:r>
      <w:r>
        <w:rPr>
          <w:rStyle w:val="VerbatimChar"/>
        </w:rPr>
        <w:t xml:space="preserve">R58.*</w:t>
      </w:r>
    </w:p>
    <w:p>
      <w:pPr>
        <w:numPr>
          <w:ilvl w:val="2"/>
          <w:numId w:val="1011"/>
        </w:numPr>
      </w:pPr>
      <w:r>
        <w:t xml:space="preserve">A composite outcome capturing critical-site hemorrhages and gastrointestinal bleeding requiring transfusion.</w:t>
      </w:r>
    </w:p>
    <w:p>
      <w:pPr>
        <w:numPr>
          <w:ilvl w:val="1"/>
          <w:numId w:val="1008"/>
        </w:numPr>
      </w:pPr>
      <w:r>
        <w:t xml:space="preserve">Favorable Discharge:</w:t>
      </w:r>
    </w:p>
    <w:p>
      <w:pPr>
        <w:pStyle w:val="Compact"/>
        <w:numPr>
          <w:ilvl w:val="2"/>
          <w:numId w:val="1012"/>
        </w:numPr>
      </w:pPr>
      <w:r>
        <w:t xml:space="preserve">Defined as routine discharge to home, identified using the NIS</w:t>
      </w:r>
      <w:r>
        <w:t xml:space="preserve"> </w:t>
      </w:r>
      <w:r>
        <w:rPr>
          <w:rStyle w:val="VerbatimChar"/>
        </w:rPr>
        <w:t xml:space="preserve">DISPUNIFORM</w:t>
      </w:r>
      <w:r>
        <w:t xml:space="preserve"> </w:t>
      </w:r>
      <w:r>
        <w:t xml:space="preserve">variable.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multivariable models included</w:t>
      </w:r>
    </w:p>
    <w:p>
      <w:pPr>
        <w:numPr>
          <w:ilvl w:val="1"/>
          <w:numId w:val="1013"/>
        </w:numPr>
      </w:pPr>
      <w:r>
        <w:rPr>
          <w:b/>
          <w:bCs/>
        </w:rPr>
        <w:t xml:space="preserve">Demographics:</w:t>
      </w:r>
      <w:r>
        <w:t xml:space="preserve"> </w:t>
      </w:r>
      <w:r>
        <w:t xml:space="preserve">Age (continuous), sex, race/ethnicity</w:t>
      </w:r>
    </w:p>
    <w:p>
      <w:pPr>
        <w:numPr>
          <w:ilvl w:val="1"/>
          <w:numId w:val="1013"/>
        </w:numPr>
      </w:pPr>
      <w:r>
        <w:rPr>
          <w:b/>
          <w:bCs/>
        </w:rPr>
        <w:t xml:space="preserve">Socioeconomic Indicators: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13"/>
        </w:numPr>
      </w:pPr>
      <w:r>
        <w:rPr>
          <w:b/>
          <w:bCs/>
        </w:rPr>
        <w:t xml:space="preserve">Clinical Profile:</w:t>
      </w:r>
      <w:r>
        <w:t xml:space="preserve"> </w:t>
      </w:r>
      <w:r>
        <w:t xml:space="preserve">Elixhauser comorbidity index (summed score), elective status</w:t>
      </w:r>
    </w:p>
    <w:p>
      <w:pPr>
        <w:numPr>
          <w:ilvl w:val="1"/>
          <w:numId w:val="1013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Hospital region, bed size, and teaching/urban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15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15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16"/>
        </w:numPr>
      </w:pPr>
      <w:r>
        <w:t xml:space="preserve">Binary outcomes (e.g., mortality, stroke, shock): Survey-weighted logistic regression with a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link</w:t>
      </w:r>
    </w:p>
    <w:p>
      <w:pPr>
        <w:numPr>
          <w:ilvl w:val="2"/>
          <w:numId w:val="1016"/>
        </w:numPr>
      </w:pPr>
      <w:r>
        <w:t xml:space="preserve">Continuous outcomes (e.g., LOS, cost): Survey-weighted linear regression (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family)</w:t>
      </w:r>
    </w:p>
    <w:p>
      <w:pPr>
        <w:numPr>
          <w:ilvl w:val="2"/>
          <w:numId w:val="1016"/>
        </w:numPr>
      </w:pPr>
      <w:r>
        <w:t xml:space="preserve">Results presented as adjusted odds ratios (aOR)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3,007,475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2,997,455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1,053,550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1,050,780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1,953,845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1,946,600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7,245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2,206,195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2,198,050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8,145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56,635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56,490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416,195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415,465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191,160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190,675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74,430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74,200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211,150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210,890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2,339,465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2,330,975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116,880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116,650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336,315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878,200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875,655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811,580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808,980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706,640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704,165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561,475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559,240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259,965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251,000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2,744,450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2,743,410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755,835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753,465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551,345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549,760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1,155,645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1,151,610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544,650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542,620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1,542,560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1,536,050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6,510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855,360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852,895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609,555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608,510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252,475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252,345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551,035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550,030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2,203,965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2,195,080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2018.000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991,355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988,615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2019.000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1,044,335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1,040,850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971,785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967,990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247,335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2,758,545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2,750,120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8,425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3,007,475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2,997,455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179,100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179,065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47,131 (25,017, 97,367)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46,943 (24,961, 96,936)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114,249 (85,922, 173,546)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103,305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103,210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147,005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146,885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186,655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186,190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1,223,005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1,214,385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8,620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8" w:name="multivariable-logistic-regression"/>
    <w:p>
      <w:pPr>
        <w:pStyle w:val="Heading2"/>
      </w:pPr>
      <w:r>
        <w:t xml:space="preserve">Multivariable logistic regression:</w:t>
      </w:r>
    </w:p>
    <w:bookmarkStart w:id="23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in-hospital-stroke"/>
    <w:p>
      <w:pPr>
        <w:pStyle w:val="Heading3"/>
      </w:pPr>
      <w:r>
        <w:t xml:space="preserve">In-hospital stroke: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cardiogenic-shock"/>
    <w:p>
      <w:pPr>
        <w:pStyle w:val="Heading3"/>
      </w:pPr>
      <w:r>
        <w:t xml:space="preserve">Cardiogenic shock: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major-bleeding"/>
    <w:p>
      <w:pPr>
        <w:pStyle w:val="Heading3"/>
      </w:pPr>
      <w:r>
        <w:t xml:space="preserve">Major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favorable-discharge"/>
    <w:p>
      <w:pPr>
        <w:pStyle w:val="Heading3"/>
      </w:pPr>
      <w:r>
        <w:t xml:space="preserve">Favorable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7.03, 9.37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bookmarkStart w:id="31" w:name="multivariable-linear-regression"/>
    <w:p>
      <w:pPr>
        <w:pStyle w:val="Heading2"/>
      </w:pPr>
      <w:r>
        <w:t xml:space="preserve">Multivariable linear regression:</w:t>
      </w:r>
    </w:p>
    <w:bookmarkStart w:id="29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-4.9, -4.4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Start w:id="30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LAAC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5,823, 20,414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-1,312, -1,139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3,341, 4,917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18,704, 33,532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-8,159, -4,274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16,932, 24,007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19,437, 31,143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5,424, 10,635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3,542, 10,972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18,081, 25,699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358, 3,523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-187, 3,512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7,599, 13,752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-56,829, -50,627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24,343, 33,818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15,340, 20,993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38,831, 52,008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-25,413, -18,329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-36,601, -29,765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26,710, 31,941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46,597, 51,567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8,747, 9,830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In-Hospital Outcomes Associated with Left Atrial Appendage Closure in Patients with Atrial Fibrillation and Heart Failure with Reduced Ejection Fraction</dc:title>
  <dc:creator>Ali Salman</dc:creator>
  <cp:keywords/>
  <dcterms:created xsi:type="dcterms:W3CDTF">2025-05-18T10:01:14Z</dcterms:created>
  <dcterms:modified xsi:type="dcterms:W3CDTF">2025-05-18T10:01:14Z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NIS Analysis for the RCOP Match Mentorship Program</vt:lpwstr>
  </property>
  <property fmtid="{D5CDD505-2E9C-101B-9397-08002B2CF9AE}" pid="12" name="toc-title">
    <vt:lpwstr>Table of contents</vt:lpwstr>
  </property>
</Properties>
</file>