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Weekend Admission on In-Hospital Outcomes of Endovascular Therapy for Acute Ischemic Stroke</w:t>
      </w:r>
    </w:p>
    <w:p>
      <w:pPr>
        <w:pStyle w:val="Subtitle"/>
      </w:pPr>
      <w:r>
        <w:t xml:space="preserve">NIS Analysis for the RCOP Match Mentorship Program</w:t>
      </w:r>
    </w:p>
    <w:p>
      <w:pPr>
        <w:pStyle w:val="Author"/>
      </w:pPr>
      <w:r>
        <w:t xml:space="preserve">Ali Salman</w:t>
      </w:r>
    </w:p>
    <w:bookmarkStart w:id="21" w:name="preamble"/>
    <w:p>
      <w:pPr>
        <w:pStyle w:val="Heading2"/>
      </w:pPr>
      <w:r>
        <w:t xml:space="preserve">Preamble:</w:t>
      </w:r>
    </w:p>
    <w:p>
      <w:pPr>
        <w:numPr>
          <w:ilvl w:val="0"/>
          <w:numId w:val="1001"/>
        </w:numPr>
      </w:pPr>
      <w:r>
        <w:rPr>
          <w:b/>
          <w:bCs/>
        </w:rPr>
        <w:t xml:space="preserve">Reference Studies:</w:t>
      </w:r>
    </w:p>
    <w:p>
      <w:pPr>
        <w:pStyle w:val="Compact"/>
        <w:numPr>
          <w:ilvl w:val="1"/>
          <w:numId w:val="1002"/>
        </w:numPr>
      </w:pPr>
      <w:hyperlink r:id="rId20">
        <w:r>
          <w:rPr>
            <w:rStyle w:val="Hyperlink"/>
          </w:rPr>
          <w:t xml:space="preserve">Kalra et al., 2024</w:t>
        </w:r>
      </w:hyperlink>
    </w:p>
    <w:p>
      <w:pPr>
        <w:numPr>
          <w:ilvl w:val="0"/>
          <w:numId w:val="1001"/>
        </w:numPr>
      </w:pPr>
      <w:r>
        <w:rPr>
          <w:b/>
          <w:bCs/>
        </w:rPr>
        <w:t xml:space="preserve">Study Objective:</w:t>
      </w:r>
      <w:r>
        <w:t xml:space="preserve"> </w:t>
      </w:r>
      <w:r>
        <w:t xml:space="preserve">To evaluate the association between weekend admission and in-hospital outcomes among adult patients hospitalized with acute ischemic stroke (AIS) who underwent endovascular thrombectomy (EVT). The goal is to assess whether care on weekends is associated with worse clinical outcomes, complications, or resource utilization in this time-sensitive patient population.</w:t>
      </w:r>
    </w:p>
    <w:p>
      <w:pPr>
        <w:numPr>
          <w:ilvl w:val="0"/>
          <w:numId w:val="1001"/>
        </w:numPr>
      </w:pPr>
      <w:r>
        <w:rPr>
          <w:b/>
          <w:bCs/>
        </w:rPr>
        <w:t xml:space="preserve">Data Source:</w:t>
      </w:r>
      <w:r>
        <w:t xml:space="preserve"> </w:t>
      </w:r>
      <w:r>
        <w:t xml:space="preserve">A retrospective cross-sectional study using the National Inpatient Sample (NIS), years 2018–2020. The NIS, developed as part of the Healthcare Cost and Utilization Project (HCUP), provides a stratified, nationally representative sample of U.S. inpatient discharges across all payers and regions.</w:t>
      </w:r>
    </w:p>
    <w:p>
      <w:pPr>
        <w:numPr>
          <w:ilvl w:val="0"/>
          <w:numId w:val="1001"/>
        </w:numPr>
      </w:pPr>
      <w:r>
        <w:rPr>
          <w:b/>
          <w:bCs/>
        </w:rPr>
        <w:t xml:space="preserve">Cohort Definition:</w:t>
      </w:r>
      <w:r>
        <w:t xml:space="preserve"> </w:t>
      </w:r>
      <w:r>
        <w:t xml:space="preserve">Hospitalizations were included if they met the following criteria</w:t>
      </w:r>
    </w:p>
    <w:p>
      <w:pPr>
        <w:numPr>
          <w:ilvl w:val="1"/>
          <w:numId w:val="1003"/>
        </w:numPr>
      </w:pPr>
      <w:r>
        <w:t xml:space="preserve">Age ≥18 years</w:t>
      </w:r>
    </w:p>
    <w:p>
      <w:pPr>
        <w:numPr>
          <w:ilvl w:val="1"/>
          <w:numId w:val="1003"/>
        </w:numPr>
      </w:pPr>
      <w:r>
        <w:t xml:space="preserve">Principal diagnosis of acute ischemic stroke (AIS), defined using ICD-10-CM codes</w:t>
      </w:r>
      <w:r>
        <w:t xml:space="preserve"> </w:t>
      </w:r>
      <w:r>
        <w:rPr>
          <w:rStyle w:val="VerbatimChar"/>
        </w:rPr>
        <w:t xml:space="preserve">I63.x</w:t>
      </w:r>
    </w:p>
    <w:p>
      <w:pPr>
        <w:numPr>
          <w:ilvl w:val="1"/>
          <w:numId w:val="1003"/>
        </w:numPr>
      </w:pPr>
      <w:r>
        <w:t xml:space="preserve">Underwent endovascular thrombectomy, identified using ICD-10-PCS codes matching the regular expression</w:t>
      </w:r>
      <w:r>
        <w:t xml:space="preserve"> </w:t>
      </w:r>
      <w:r>
        <w:rPr>
          <w:rStyle w:val="VerbatimChar"/>
        </w:rPr>
        <w:t xml:space="preserve">03C[A-Z]3ZZ</w:t>
      </w:r>
      <w:r>
        <w:t xml:space="preserve">, which captures mechanical clot removal from intracranial, carotid, vertebral, or basilar arteries via percutaneous approach</w:t>
      </w:r>
    </w:p>
    <w:p>
      <w:pPr>
        <w:numPr>
          <w:ilvl w:val="1"/>
          <w:numId w:val="1003"/>
        </w:numPr>
      </w:pPr>
      <w:r>
        <w:t xml:space="preserve">Non-missing values for admission timing</w:t>
      </w:r>
    </w:p>
    <w:p>
      <w:pPr>
        <w:numPr>
          <w:ilvl w:val="0"/>
          <w:numId w:val="1001"/>
        </w:numPr>
      </w:pPr>
      <w:r>
        <w:rPr>
          <w:b/>
          <w:bCs/>
        </w:rPr>
        <w:t xml:space="preserve">Exposure of Interest:</w:t>
      </w:r>
      <w:r>
        <w:t xml:space="preserve"> </w:t>
      </w:r>
      <w:r>
        <w:t xml:space="preserve">Weekend admission, categorizing admissions as Saturday–Sunday (weekend) vs. Monday–Friday (weekday).</w:t>
      </w:r>
    </w:p>
    <w:p>
      <w:pPr>
        <w:numPr>
          <w:ilvl w:val="0"/>
          <w:numId w:val="1001"/>
        </w:numPr>
      </w:pPr>
      <w:r>
        <w:rPr>
          <w:b/>
          <w:bCs/>
        </w:rPr>
        <w:t xml:space="preserve">Outcomes of Interest:</w:t>
      </w:r>
    </w:p>
    <w:p>
      <w:pPr>
        <w:numPr>
          <w:ilvl w:val="1"/>
          <w:numId w:val="1004"/>
        </w:numPr>
      </w:pPr>
      <w:r>
        <w:rPr>
          <w:b/>
          <w:bCs/>
        </w:rPr>
        <w:t xml:space="preserve">Primary Outcome:</w:t>
      </w:r>
    </w:p>
    <w:p>
      <w:pPr>
        <w:pStyle w:val="Compact"/>
        <w:numPr>
          <w:ilvl w:val="2"/>
          <w:numId w:val="1005"/>
        </w:numPr>
      </w:pPr>
      <w:r>
        <w:t xml:space="preserve">In-hospital mortality</w:t>
      </w:r>
    </w:p>
    <w:p>
      <w:pPr>
        <w:numPr>
          <w:ilvl w:val="1"/>
          <w:numId w:val="1004"/>
        </w:numPr>
      </w:pPr>
      <w:r>
        <w:rPr>
          <w:b/>
          <w:bCs/>
        </w:rPr>
        <w:t xml:space="preserve">Secondary Outcomes:</w:t>
      </w:r>
    </w:p>
    <w:p>
      <w:pPr>
        <w:numPr>
          <w:ilvl w:val="2"/>
          <w:numId w:val="1006"/>
        </w:numPr>
      </w:pPr>
      <w:r>
        <w:t xml:space="preserve">Length of stay (LOS), in days</w:t>
      </w:r>
    </w:p>
    <w:p>
      <w:pPr>
        <w:numPr>
          <w:ilvl w:val="2"/>
          <w:numId w:val="1006"/>
        </w:numPr>
      </w:pPr>
      <w:r>
        <w:t xml:space="preserve">Inflation-adjusted total hospital charges (in 2020 USD)</w:t>
      </w:r>
    </w:p>
    <w:p>
      <w:pPr>
        <w:numPr>
          <w:ilvl w:val="2"/>
          <w:numId w:val="1006"/>
        </w:numPr>
      </w:pPr>
      <w:r>
        <w:t xml:space="preserve">Mechanical ventilation use</w:t>
      </w:r>
    </w:p>
    <w:p>
      <w:pPr>
        <w:numPr>
          <w:ilvl w:val="2"/>
          <w:numId w:val="1006"/>
        </w:numPr>
      </w:pPr>
      <w:r>
        <w:t xml:space="preserve">Incidence of secondary intracranial hemorrhage (ICH)</w:t>
      </w:r>
    </w:p>
    <w:p>
      <w:pPr>
        <w:numPr>
          <w:ilvl w:val="2"/>
          <w:numId w:val="1006"/>
        </w:numPr>
      </w:pPr>
      <w:r>
        <w:t xml:space="preserve">Favorable discharge (discharge to home or home health)</w:t>
      </w:r>
    </w:p>
    <w:p>
      <w:pPr>
        <w:numPr>
          <w:ilvl w:val="0"/>
          <w:numId w:val="1001"/>
        </w:numPr>
      </w:pPr>
      <w:r>
        <w:rPr>
          <w:b/>
          <w:bCs/>
        </w:rPr>
        <w:t xml:space="preserve">Outcome Definitions (ICD-10-CM and ICD-10-PCS):</w:t>
      </w:r>
    </w:p>
    <w:p>
      <w:pPr>
        <w:numPr>
          <w:ilvl w:val="1"/>
          <w:numId w:val="1007"/>
        </w:numPr>
      </w:pPr>
      <w:r>
        <w:t xml:space="preserve">Acute Ischemic Stroke (AIS):</w:t>
      </w:r>
    </w:p>
    <w:p>
      <w:pPr>
        <w:pStyle w:val="Compact"/>
        <w:numPr>
          <w:ilvl w:val="2"/>
          <w:numId w:val="1008"/>
        </w:numPr>
      </w:pPr>
      <w:r>
        <w:t xml:space="preserve">ICD-10-CM codes:</w:t>
      </w:r>
      <w:r>
        <w:t xml:space="preserve"> </w:t>
      </w:r>
      <w:r>
        <w:rPr>
          <w:rStyle w:val="VerbatimChar"/>
        </w:rPr>
        <w:t xml:space="preserve">I63.x</w:t>
      </w:r>
      <w:r>
        <w:t xml:space="preserve"> </w:t>
      </w:r>
      <w:r>
        <w:t xml:space="preserve">(all subtypes of cerebral infarction)</w:t>
      </w:r>
    </w:p>
    <w:p>
      <w:pPr>
        <w:numPr>
          <w:ilvl w:val="1"/>
          <w:numId w:val="1007"/>
        </w:numPr>
      </w:pPr>
      <w:r>
        <w:t xml:space="preserve">Endovascular Thrombectomy (EVT):</w:t>
      </w:r>
    </w:p>
    <w:p>
      <w:pPr>
        <w:pStyle w:val="Compact"/>
        <w:numPr>
          <w:ilvl w:val="2"/>
          <w:numId w:val="1009"/>
        </w:numPr>
      </w:pPr>
      <w:r>
        <w:t xml:space="preserve">ICD-10-PCS codes matching:</w:t>
      </w:r>
      <w:r>
        <w:t xml:space="preserve"> </w:t>
      </w:r>
      <w:r>
        <w:rPr>
          <w:rStyle w:val="VerbatimChar"/>
        </w:rPr>
        <w:t xml:space="preserve">03C[GHJKLMN]3ZZ</w:t>
      </w:r>
      <w:r>
        <w:t xml:space="preserve"> </w:t>
      </w:r>
      <w:r>
        <w:t xml:space="preserve">(extirpation of cerebral artery via percutaneous approach)</w:t>
      </w:r>
    </w:p>
    <w:p>
      <w:pPr>
        <w:numPr>
          <w:ilvl w:val="1"/>
          <w:numId w:val="1007"/>
        </w:numPr>
      </w:pPr>
      <w:r>
        <w:t xml:space="preserve">Mechanical Ventilation:</w:t>
      </w:r>
    </w:p>
    <w:p>
      <w:pPr>
        <w:pStyle w:val="Compact"/>
        <w:numPr>
          <w:ilvl w:val="2"/>
          <w:numId w:val="1010"/>
        </w:numPr>
      </w:pPr>
      <w:r>
        <w:t xml:space="preserve">ICD-10-PCS codes:</w:t>
      </w:r>
      <w:r>
        <w:t xml:space="preserve"> </w:t>
      </w:r>
      <w:r>
        <w:rPr>
          <w:rStyle w:val="VerbatimChar"/>
        </w:rPr>
        <w:t xml:space="preserve">5A09B5K</w:t>
      </w:r>
      <w:r>
        <w:t xml:space="preserve">,</w:t>
      </w:r>
      <w:r>
        <w:t xml:space="preserve"> </w:t>
      </w:r>
      <w:r>
        <w:rPr>
          <w:rStyle w:val="VerbatimChar"/>
        </w:rPr>
        <w:t xml:space="preserve">5A09C5K</w:t>
      </w:r>
      <w:r>
        <w:t xml:space="preserve">,</w:t>
      </w:r>
      <w:r>
        <w:t xml:space="preserve"> </w:t>
      </w:r>
      <w:r>
        <w:rPr>
          <w:rStyle w:val="VerbatimChar"/>
        </w:rPr>
        <w:t xml:space="preserve">5A09D5K</w:t>
      </w:r>
      <w:r>
        <w:t xml:space="preserve">,</w:t>
      </w:r>
      <w:r>
        <w:t xml:space="preserve"> </w:t>
      </w:r>
      <w:r>
        <w:rPr>
          <w:rStyle w:val="VerbatimChar"/>
        </w:rPr>
        <w:t xml:space="preserve">5A1935Z</w:t>
      </w:r>
      <w:r>
        <w:t xml:space="preserve">,</w:t>
      </w:r>
      <w:r>
        <w:t xml:space="preserve"> </w:t>
      </w:r>
      <w:r>
        <w:rPr>
          <w:rStyle w:val="VerbatimChar"/>
        </w:rPr>
        <w:t xml:space="preserve">5A1945Z</w:t>
      </w:r>
      <w:r>
        <w:t xml:space="preserve">,</w:t>
      </w:r>
      <w:r>
        <w:t xml:space="preserve"> </w:t>
      </w:r>
      <w:r>
        <w:rPr>
          <w:rStyle w:val="VerbatimChar"/>
        </w:rPr>
        <w:t xml:space="preserve">5A1955Z</w:t>
      </w:r>
    </w:p>
    <w:p>
      <w:pPr>
        <w:numPr>
          <w:ilvl w:val="1"/>
          <w:numId w:val="1007"/>
        </w:numPr>
      </w:pPr>
      <w:r>
        <w:t xml:space="preserve">Intracranial Hemorrhage (ICH):</w:t>
      </w:r>
    </w:p>
    <w:p>
      <w:pPr>
        <w:numPr>
          <w:ilvl w:val="2"/>
          <w:numId w:val="1011"/>
        </w:numPr>
      </w:pPr>
      <w:r>
        <w:t xml:space="preserve">ICD-10-CM codes:</w:t>
      </w:r>
      <w:r>
        <w:t xml:space="preserve"> </w:t>
      </w:r>
      <w:r>
        <w:rPr>
          <w:rStyle w:val="VerbatimChar"/>
        </w:rPr>
        <w:t xml:space="preserve">I61.x</w:t>
      </w:r>
      <w:r>
        <w:t xml:space="preserve"> </w:t>
      </w:r>
      <w:r>
        <w:t xml:space="preserve">(nontraumatic intracerebral hemorrhage),</w:t>
      </w:r>
      <w:r>
        <w:t xml:space="preserve"> </w:t>
      </w:r>
      <w:r>
        <w:rPr>
          <w:rStyle w:val="VerbatimChar"/>
        </w:rPr>
        <w:t xml:space="preserve">I62.x</w:t>
      </w:r>
      <w:r>
        <w:t xml:space="preserve"> </w:t>
      </w:r>
      <w:r>
        <w:t xml:space="preserve">(other nontraumatic hemorrhages)</w:t>
      </w:r>
    </w:p>
    <w:p>
      <w:pPr>
        <w:numPr>
          <w:ilvl w:val="2"/>
          <w:numId w:val="1011"/>
        </w:numPr>
      </w:pPr>
      <w:r>
        <w:rPr>
          <w:b/>
          <w:bCs/>
        </w:rPr>
        <w:t xml:space="preserve">Note:</w:t>
      </w:r>
      <w:r>
        <w:t xml:space="preserve"> </w:t>
      </w:r>
      <w:r>
        <w:rPr>
          <w:rStyle w:val="VerbatimChar"/>
        </w:rPr>
        <w:t xml:space="preserve">I60.x</w:t>
      </w:r>
      <w:r>
        <w:t xml:space="preserve"> </w:t>
      </w:r>
      <w:r>
        <w:t xml:space="preserve">(subarachnoid hemorrhage) was</w:t>
      </w:r>
      <w:r>
        <w:t xml:space="preserve"> </w:t>
      </w:r>
      <w:r>
        <w:rPr>
          <w:b/>
          <w:bCs/>
        </w:rPr>
        <w:t xml:space="preserve">excluded</w:t>
      </w:r>
      <w:r>
        <w:t xml:space="preserve"> </w:t>
      </w:r>
      <w:r>
        <w:t xml:space="preserve">to focus on secondary bleeding events more commonly associated with EVT</w:t>
      </w:r>
    </w:p>
    <w:p>
      <w:pPr>
        <w:numPr>
          <w:ilvl w:val="1"/>
          <w:numId w:val="1007"/>
        </w:numPr>
      </w:pPr>
      <w:r>
        <w:t xml:space="preserve">Favorable Discharge:</w:t>
      </w:r>
    </w:p>
    <w:p>
      <w:pPr>
        <w:numPr>
          <w:ilvl w:val="2"/>
          <w:numId w:val="1012"/>
        </w:numPr>
      </w:pPr>
      <w:r>
        <w:t xml:space="preserve">Derived from</w:t>
      </w:r>
      <w:r>
        <w:t xml:space="preserve"> </w:t>
      </w:r>
      <w:r>
        <w:rPr>
          <w:rStyle w:val="VerbatimChar"/>
        </w:rPr>
        <w:t xml:space="preserve">DISPUNIFORM</w:t>
      </w:r>
      <w:r>
        <w:t xml:space="preserve"> </w:t>
      </w:r>
      <w:r>
        <w:t xml:space="preserve">values:</w:t>
      </w:r>
    </w:p>
    <w:p>
      <w:pPr>
        <w:numPr>
          <w:ilvl w:val="3"/>
          <w:numId w:val="1013"/>
        </w:numPr>
      </w:pPr>
      <w:r>
        <w:rPr>
          <w:rStyle w:val="VerbatimChar"/>
        </w:rPr>
        <w:t xml:space="preserve">"Routine discharge to home/self-care"</w:t>
      </w:r>
    </w:p>
    <w:p>
      <w:pPr>
        <w:numPr>
          <w:ilvl w:val="3"/>
          <w:numId w:val="1013"/>
        </w:numPr>
      </w:pPr>
      <w:r>
        <w:rPr>
          <w:rStyle w:val="VerbatimChar"/>
        </w:rPr>
        <w:t xml:space="preserve">"Home health care"</w:t>
      </w:r>
    </w:p>
    <w:p>
      <w:pPr>
        <w:numPr>
          <w:ilvl w:val="2"/>
          <w:numId w:val="1012"/>
        </w:numPr>
      </w:pPr>
      <w:r>
        <w:t xml:space="preserve">All other dispositions were classified as unfavorable.</w:t>
      </w:r>
    </w:p>
    <w:p>
      <w:pPr>
        <w:numPr>
          <w:ilvl w:val="0"/>
          <w:numId w:val="1001"/>
        </w:numPr>
      </w:pPr>
      <w:r>
        <w:rPr>
          <w:b/>
          <w:bCs/>
        </w:rPr>
        <w:t xml:space="preserve">Covariates for Adjustment:</w:t>
      </w:r>
      <w:r>
        <w:t xml:space="preserve"> </w:t>
      </w:r>
      <w:r>
        <w:t xml:space="preserve">All models adjusted for the following</w:t>
      </w:r>
    </w:p>
    <w:p>
      <w:pPr>
        <w:numPr>
          <w:ilvl w:val="1"/>
          <w:numId w:val="1014"/>
        </w:numPr>
      </w:pPr>
      <w:r>
        <w:rPr>
          <w:b/>
          <w:bCs/>
        </w:rPr>
        <w:t xml:space="preserve">Demographic Factors:</w:t>
      </w:r>
      <w:r>
        <w:t xml:space="preserve"> </w:t>
      </w:r>
      <w:r>
        <w:t xml:space="preserve">Age (continuous), sex, race/ethnicity</w:t>
      </w:r>
    </w:p>
    <w:p>
      <w:pPr>
        <w:numPr>
          <w:ilvl w:val="1"/>
          <w:numId w:val="1014"/>
        </w:numPr>
      </w:pPr>
      <w:r>
        <w:rPr>
          <w:b/>
          <w:bCs/>
        </w:rPr>
        <w:t xml:space="preserve">Socioeconomic Factors:</w:t>
      </w:r>
      <w:r>
        <w:t xml:space="preserve"> </w:t>
      </w:r>
      <w:r>
        <w:t xml:space="preserve">Primary payer, ZIP code–based income quartile</w:t>
      </w:r>
    </w:p>
    <w:p>
      <w:pPr>
        <w:numPr>
          <w:ilvl w:val="1"/>
          <w:numId w:val="1014"/>
        </w:numPr>
      </w:pPr>
      <w:r>
        <w:rPr>
          <w:b/>
          <w:bCs/>
        </w:rPr>
        <w:t xml:space="preserve">Clinical Factors:</w:t>
      </w:r>
      <w:r>
        <w:t xml:space="preserve"> </w:t>
      </w:r>
      <w:r>
        <w:t xml:space="preserve">Elixhauser comorbidity index, thrombolytic drugs given</w:t>
      </w:r>
    </w:p>
    <w:p>
      <w:pPr>
        <w:numPr>
          <w:ilvl w:val="1"/>
          <w:numId w:val="1014"/>
        </w:numPr>
      </w:pPr>
      <w:r>
        <w:rPr>
          <w:b/>
          <w:bCs/>
        </w:rPr>
        <w:t xml:space="preserve">Hospital-Level Factors:</w:t>
      </w:r>
      <w:r>
        <w:t xml:space="preserve"> </w:t>
      </w:r>
      <w:r>
        <w:t xml:space="preserve">Hospital region, bed size, and teaching status</w:t>
      </w:r>
    </w:p>
    <w:p>
      <w:pPr>
        <w:numPr>
          <w:ilvl w:val="0"/>
          <w:numId w:val="1001"/>
        </w:numPr>
      </w:pPr>
      <w:r>
        <w:rPr>
          <w:b/>
          <w:bCs/>
        </w:rPr>
        <w:t xml:space="preserve">Statistical Methods:</w:t>
      </w:r>
    </w:p>
    <w:p>
      <w:pPr>
        <w:numPr>
          <w:ilvl w:val="1"/>
          <w:numId w:val="1015"/>
        </w:numPr>
      </w:pPr>
      <w:r>
        <w:rPr>
          <w:b/>
          <w:bCs/>
        </w:rPr>
        <w:t xml:space="preserve">Univariable Analysis:</w:t>
      </w:r>
    </w:p>
    <w:p>
      <w:pPr>
        <w:numPr>
          <w:ilvl w:val="2"/>
          <w:numId w:val="1016"/>
        </w:numPr>
      </w:pPr>
      <w:r>
        <w:t xml:space="preserve">Categorical variables: Compared using Pearson’s chi-square test with Rao &amp; Scott adjustment</w:t>
      </w:r>
    </w:p>
    <w:p>
      <w:pPr>
        <w:numPr>
          <w:ilvl w:val="2"/>
          <w:numId w:val="1016"/>
        </w:numPr>
      </w:pPr>
      <w:r>
        <w:t xml:space="preserve">Continuous variables: Analyzed using the design-based Kruskal–Wallis test, a non-parametric alternative suitable for survey-weighted data</w:t>
      </w:r>
    </w:p>
    <w:p>
      <w:pPr>
        <w:numPr>
          <w:ilvl w:val="1"/>
          <w:numId w:val="1015"/>
        </w:numPr>
      </w:pPr>
      <w:r>
        <w:rPr>
          <w:b/>
          <w:bCs/>
        </w:rPr>
        <w:t xml:space="preserve">Multivariable Analysis:</w:t>
      </w:r>
    </w:p>
    <w:p>
      <w:pPr>
        <w:numPr>
          <w:ilvl w:val="2"/>
          <w:numId w:val="1017"/>
        </w:numPr>
      </w:pPr>
      <w:r>
        <w:t xml:space="preserve">Binary outcomes (e.g., mortality, MV, ICH, discharge): Survey-weighted logistic regression using the</w:t>
      </w:r>
      <w:r>
        <w:t xml:space="preserve"> </w:t>
      </w:r>
      <w:r>
        <w:rPr>
          <w:rStyle w:val="VerbatimChar"/>
        </w:rPr>
        <w:t xml:space="preserve">quasibinomial</w:t>
      </w:r>
      <w:r>
        <w:t xml:space="preserve"> </w:t>
      </w:r>
      <w:r>
        <w:t xml:space="preserve">family</w:t>
      </w:r>
    </w:p>
    <w:p>
      <w:pPr>
        <w:numPr>
          <w:ilvl w:val="2"/>
          <w:numId w:val="1017"/>
        </w:numPr>
      </w:pPr>
      <w:r>
        <w:t xml:space="preserve">Continuous outcomes (e.g., LOS, hospital charges): Survey-weighted linear regression using the</w:t>
      </w:r>
      <w:r>
        <w:t xml:space="preserve"> </w:t>
      </w:r>
      <w:r>
        <w:rPr>
          <w:rStyle w:val="VerbatimChar"/>
        </w:rPr>
        <w:t xml:space="preserve">gaussian</w:t>
      </w:r>
      <w:r>
        <w:t xml:space="preserve"> </w:t>
      </w:r>
      <w:r>
        <w:t xml:space="preserve">family</w:t>
      </w:r>
    </w:p>
    <w:p>
      <w:pPr>
        <w:numPr>
          <w:ilvl w:val="2"/>
          <w:numId w:val="1017"/>
        </w:numPr>
      </w:pPr>
      <w:r>
        <w:t xml:space="preserve">Results reported as adjusted odds ratios (aORs) or beta coefficients with 95% confidence intervals</w:t>
      </w:r>
    </w:p>
    <w:p>
      <w:pPr>
        <w:numPr>
          <w:ilvl w:val="0"/>
          <w:numId w:val="1001"/>
        </w:numPr>
      </w:pPr>
      <w:r>
        <w:rPr>
          <w:b/>
          <w:bCs/>
        </w:rPr>
        <w:t xml:space="preserve">Software:</w:t>
      </w:r>
      <w:r>
        <w:t xml:space="preserve"> </w:t>
      </w:r>
      <w:r>
        <w:t xml:space="preserve">All statistical analyses were performed using the R Statistical Language (Version 4.5.0; R Foundation for Statistical Computing, Vienna, Austria), incorporating survey-weighted procedures via the</w:t>
      </w:r>
      <w:r>
        <w:t xml:space="preserve"> </w:t>
      </w:r>
      <w:r>
        <w:rPr>
          <w:i/>
          <w:iCs/>
        </w:rPr>
        <w:t xml:space="preserve">survey</w:t>
      </w:r>
      <w:r>
        <w:t xml:space="preserve"> </w:t>
      </w:r>
      <w:r>
        <w:t xml:space="preserve">package to account for the complex sampling design of NIS.</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61,955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Monday-Friday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45,105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Saturday-Sunday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16,850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30,830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22,435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31,120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22,665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8,455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41,605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30,385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Thrombolytic drugs given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12,840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37,830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27,670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10,160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17,480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12,745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16,120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11,635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14,830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9,190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12,590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9,225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26,370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19,105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7,265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13,615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45,035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32,755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12,280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12,960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57,155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41,665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15,490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of comorbidities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One comorbidity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Two or more comorbidities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58,260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42,415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15,845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univariable-analysis"/>
    <w:p>
      <w:pPr>
        <w:pStyle w:val="Heading2"/>
      </w:pPr>
      <w:r>
        <w:t xml:space="preserve">Univariable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61,955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Monday-Friday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45,105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Saturday-Sunday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16,850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157,360 (101,758, 250,491)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157,137 (101,896, 250,498)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158,470 (101,405, 250,348)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Mechanical ventilation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15,435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11,215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Secondary intracranial hemorrhage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12,025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Favorable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19,380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14,195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28" w:name="multivariable-logistic-regression"/>
    <w:p>
      <w:pPr>
        <w:pStyle w:val="Heading2"/>
      </w:pPr>
      <w:r>
        <w:t xml:space="preserve">Multivariable logistic regression:</w:t>
      </w:r>
    </w:p>
    <w:bookmarkStart w:id="24"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Weekend admission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Thrombolytic drugs given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0.27, 3.74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4"/>
    <w:bookmarkStart w:id="25" w:name="mechanical-ventilation"/>
    <w:p>
      <w:pPr>
        <w:pStyle w:val="Heading3"/>
      </w:pPr>
      <w:r>
        <w:t xml:space="preserve">Mechanical ventilation: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Weekend admission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Thrombolytic drugs given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intracranial-hemorrhage"/>
    <w:p>
      <w:pPr>
        <w:pStyle w:val="Heading3"/>
      </w:pPr>
      <w:r>
        <w:t xml:space="preserve">Intracranial hemorrhage: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Weekend admission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Thrombolytic drugs given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Start w:id="27" w:name="favorable-discharge"/>
    <w:p>
      <w:pPr>
        <w:pStyle w:val="Heading3"/>
      </w:pPr>
      <w:r>
        <w:t xml:space="preserve">Favorable discharge: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Weekend admission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Thrombolytic drugs given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7"/>
    <w:bookmarkEnd w:id="28"/>
    <w:bookmarkStart w:id="31" w:name="multivariable-linear-regression"/>
    <w:p>
      <w:pPr>
        <w:pStyle w:val="Heading2"/>
      </w:pPr>
      <w:r>
        <w:t xml:space="preserve">Multivariable linear regression:</w:t>
      </w:r>
    </w:p>
    <w:bookmarkStart w:id="29"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Weekend admission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Thrombolytic drugs given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29"/>
    <w:bookmarkStart w:id="30" w:name="inflation-adjusted-total-charge"/>
    <w:p>
      <w:pPr>
        <w:pStyle w:val="Heading3"/>
      </w:pPr>
      <w:r>
        <w:t xml:space="preserve">Inflation-adjusted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Weekend admission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-6,747, 7,320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-1,242, -504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11,148, 24,887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-11,599, 34,412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14,467, 40,150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38,860, 79,739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32,460, 90,171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Thrombolytic drugs given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18,082, 34,198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-58,383, -21,790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-62,955, -20,491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-51,044, -15,282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-14,262, 4,476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-14,986, 7,258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-13,706, 14,840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50,005, 90,784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22,678, 45,697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98,984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81,297, 116,671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-962, 29,463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6,975, 65,282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42,803, 127,563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15,261, 72,796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11,361, 15,703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j.xjon.2024.02.005"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j.xjon.2024.02.0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Weekend Admission on In-Hospital Outcomes of Endovascular Therapy for Acute Ischemic Stroke</dc:title>
  <dc:creator>Ali Salman</dc:creator>
  <cp:keywords/>
  <dcterms:created xsi:type="dcterms:W3CDTF">2025-05-11T17:35:15Z</dcterms:created>
  <dcterms:modified xsi:type="dcterms:W3CDTF">2025-05-11T17:35:15Z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NIS Analysis for the RCOP Match Mentorship Program</vt:lpwstr>
  </property>
  <property fmtid="{D5CDD505-2E9C-101B-9397-08002B2CF9AE}" pid="12" name="toc-title">
    <vt:lpwstr>Table of contents</vt:lpwstr>
  </property>
</Properties>
</file>