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 Impact of Obstructive Sleep Apnea on Maternal Pregnancy Outcomes</w:t>
      </w:r>
    </w:p>
    <w:p>
      <w:pPr>
        <w:pStyle w:val="Subtitle"/>
      </w:pPr>
      <w:r>
        <w:t xml:space="preserve">National Inpatient Sample Analysis (2018–2020)</w:t>
      </w:r>
    </w:p>
    <w:p>
      <w:pPr>
        <w:pStyle w:val="Author"/>
      </w:pPr>
      <w:r>
        <w:t xml:space="preserve">Yamna Waseem</w:t>
      </w:r>
    </w:p>
    <w:p>
      <w:pPr>
        <w:pStyle w:val="Author"/>
      </w:pPr>
      <w:r>
        <w:t xml:space="preserve">Ali Salman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Evaluate the association between obstructive sleep apnea (OSA) and maternal outcomes during pregnancy across U.S. hospitals from 2018 to 2020, adjusting for demographic, clinical, and hospital-related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from 2018 to 2020, a nationwide database that captures inpatient admissions in the U.S., and is weighted to provide nationally representative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for pregnancy-related diagnoses (ICD Diagnosis Table), identified using ICD-10 diagnosis codes. Patients were categorized based on the presence or absence of obstructive sleep apnea, identified using ICD-10-CM code G47.33.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2"/>
        </w:numPr>
      </w:pPr>
      <w:r>
        <w:t xml:space="preserve">Eclampsia/Preeclampsia</w:t>
      </w:r>
    </w:p>
    <w:p>
      <w:pPr>
        <w:numPr>
          <w:ilvl w:val="1"/>
          <w:numId w:val="1002"/>
        </w:numPr>
      </w:pPr>
      <w:r>
        <w:t xml:space="preserve">Postpartum Hemorrhage</w:t>
      </w:r>
    </w:p>
    <w:p>
      <w:pPr>
        <w:numPr>
          <w:ilvl w:val="1"/>
          <w:numId w:val="1002"/>
        </w:numPr>
      </w:pPr>
      <w:r>
        <w:t xml:space="preserve">Gestational Diabetes</w:t>
      </w:r>
    </w:p>
    <w:p>
      <w:pPr>
        <w:numPr>
          <w:ilvl w:val="1"/>
          <w:numId w:val="1002"/>
        </w:numPr>
      </w:pPr>
      <w:r>
        <w:t xml:space="preserve">Gestational Hypertension</w:t>
      </w:r>
    </w:p>
    <w:p>
      <w:pPr>
        <w:numPr>
          <w:ilvl w:val="1"/>
          <w:numId w:val="1002"/>
        </w:numPr>
      </w:pPr>
      <w:r>
        <w:t xml:space="preserve">Cesarean Section</w:t>
      </w:r>
    </w:p>
    <w:p>
      <w:pPr>
        <w:numPr>
          <w:ilvl w:val="1"/>
          <w:numId w:val="1002"/>
        </w:numPr>
      </w:pPr>
      <w:r>
        <w:t xml:space="preserve">Length of Stay (days)</w:t>
      </w:r>
    </w:p>
    <w:p>
      <w:pPr>
        <w:numPr>
          <w:ilvl w:val="1"/>
          <w:numId w:val="1002"/>
        </w:numPr>
      </w:pPr>
      <w:r>
        <w:t xml:space="preserve">Inflation-Adjusted Total Charge (adjusted to 2020, 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Adjustment Variables: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Demographics and Socioeconomic Factors:</w:t>
      </w:r>
      <w:r>
        <w:t xml:space="preserve"> </w:t>
      </w:r>
      <w:r>
        <w:t xml:space="preserve">Age, race/ethnicity, residential income quartile, insurance payer.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Hospital Characteristics:</w:t>
      </w:r>
      <w:r>
        <w:t xml:space="preserve"> </w:t>
      </w:r>
      <w:r>
        <w:t xml:space="preserve">Region, bed size, and teaching status.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Charlson comorbidity index, alcohol use disorder, anemia, cardiac arrhythmias, chronic obstructive pulmonary disease, diabetes mellitus, substance use disorder, heart failure, hypertension, hypothyroidism, obesity, and tobacco use disorder.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5"/>
        </w:numPr>
      </w:pPr>
      <w:r>
        <w:rPr>
          <w:b/>
          <w:bCs/>
        </w:rPr>
        <w:t xml:space="preserve">Continuous Outcomes:</w:t>
      </w:r>
      <w:r>
        <w:t xml:space="preserve"> </w:t>
      </w:r>
      <w:r>
        <w:t xml:space="preserve">Design-based Kruskal-Wallis test for continuous outcomes e.g., length of stay and total charges.</w:t>
      </w:r>
    </w:p>
    <w:p>
      <w:pPr>
        <w:numPr>
          <w:ilvl w:val="2"/>
          <w:numId w:val="1005"/>
        </w:numPr>
      </w:pPr>
      <w:r>
        <w:rPr>
          <w:b/>
          <w:bCs/>
        </w:rPr>
        <w:t xml:space="preserve">Categorical Outcomes:</w:t>
      </w:r>
      <w:r>
        <w:t xml:space="preserve"> </w:t>
      </w:r>
      <w:r>
        <w:t xml:space="preserve">Rao &amp; Scott-adjusted Pearson’s Chi-square test for categorical outcomes e.g., eclampsia/preeclampsia, postpartum hemorrhage, gestational diabetes, etc.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6"/>
        </w:numPr>
      </w:pPr>
      <w:r>
        <w:rPr>
          <w:b/>
          <w:bCs/>
        </w:rPr>
        <w:t xml:space="preserve">Logistic Regression:</w:t>
      </w:r>
      <w:r>
        <w:t xml:space="preserve"> </w:t>
      </w:r>
      <w:r>
        <w:t xml:space="preserve">For binary outcomes (e.g., eclampsia/preeclampsia, postpartum hemorrhage, gestational diabetes, etc.). Report adjusted odds ratios (ORs) with 95% confidence intervals (CIs).</w:t>
      </w:r>
    </w:p>
    <w:p>
      <w:pPr>
        <w:numPr>
          <w:ilvl w:val="2"/>
          <w:numId w:val="1006"/>
        </w:numPr>
      </w:pPr>
      <w:r>
        <w:rPr>
          <w:b/>
          <w:bCs/>
        </w:rPr>
        <w:t xml:space="preserve">Linear Regression:</w:t>
      </w:r>
      <w:r>
        <w:t xml:space="preserve"> </w:t>
      </w:r>
      <w:r>
        <w:t xml:space="preserve">For continuous outcomes (e.g., length of stay, total charges). Report adjusted beta coefficients with 95% CIs.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Model Adjustment:</w:t>
      </w:r>
      <w:r>
        <w:t xml:space="preserve"> </w:t>
      </w:r>
      <w:r>
        <w:t xml:space="preserve">All models adjusted for the demographic, clinical, and hospital factors listed above, as well as OSA status (yes/no).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Survey Weights:</w:t>
      </w:r>
      <w:r>
        <w:t xml:space="preserve"> </w:t>
      </w:r>
      <w:r>
        <w:t xml:space="preserve">The NIS survey design and discharge weights were applied to account for the complex sampling methodology and ensure nationally representative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using the R Statistical Language (Version 4.4.2; R Foundation for Statistical Computing, Vienna, Austria), utilizing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complex sampling designs of the NIS.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1,112,285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Pregnancy without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1,111,470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Pregnancy with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537,380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537,025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74,070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74,025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157,775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157,565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249,420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249,255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58,855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58,840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305,535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305,295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281,195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281,010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271,485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271,260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244,080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243,915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567,230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566,800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473,685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473,370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6,790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6,745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63,295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63,275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193,520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193,385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193,885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193,715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441,835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441,640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283,045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282,730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544,395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543,975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337,655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337,430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230,235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230,065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98,785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98,755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201,660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201,590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811,840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811,125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299,025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298,750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16,625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16,580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9,140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49,030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48,825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3,990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3,935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23,300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23,245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29,385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29,305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72,905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72,460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32,435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32,395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1,112,285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Pregnancy without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1,111,470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Pregnancy with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(2.00,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(2.00,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(2.00, 4.00)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15,861 (10,778, 23,869)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15,858 (10,776, 23,862)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22,995 (15,298, 39,730)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Eclampsia/pre-eclampsia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24,325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24,220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Postpartum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34,285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34,210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37,100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37,010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32,490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32,400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Cesarean section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171,260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170,950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30" w:name="multivariable-regression"/>
    <w:p>
      <w:pPr>
        <w:pStyle w:val="Heading2"/>
      </w:pPr>
      <w:r>
        <w:t xml:space="preserve">Multivariable Regression:</w:t>
      </w:r>
    </w:p>
    <w:bookmarkStart w:id="23" w:name="eclampsiapreeclampsia"/>
    <w:p>
      <w:pPr>
        <w:pStyle w:val="Heading3"/>
      </w:pPr>
      <w:r>
        <w:t xml:space="preserve">Eclampsia/Preeclampsia: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1.44, 4.15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2.01, 2.87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2.03, 3.00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1.93, 3.50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1.82, 2.43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2.68, 3.15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Start w:id="24" w:name="postpartum-hemorrhage"/>
    <w:p>
      <w:pPr>
        <w:pStyle w:val="Heading3"/>
      </w:pPr>
      <w:r>
        <w:t xml:space="preserve">Postpartum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1.98, 2.63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3.01, 4.14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1.79, 2.12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gestational-diabetes"/>
    <w:p>
      <w:pPr>
        <w:pStyle w:val="Heading3"/>
      </w:pPr>
      <w:r>
        <w:t xml:space="preserve">Gestational Diabetes: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2.60, 3.04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2.91, 3.36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gestational-hypertension"/>
    <w:p>
      <w:pPr>
        <w:pStyle w:val="Heading3"/>
      </w:pPr>
      <w:r>
        <w:t xml:space="preserve">Gestational Hypertension: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2.02, 2.71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1.69, 2.47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2.92, 3.39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Start w:id="27" w:name="cesarean-section"/>
    <w:p>
      <w:pPr>
        <w:pStyle w:val="Heading3"/>
      </w:pPr>
      <w:r>
        <w:t xml:space="preserve">Cesarean Section: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2.00, 2.47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2.31, 3.33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2.68, 2.93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7"/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Pregnancy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1,425, 14,029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56, 92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2,413, 3,548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1,244, 1,958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1,983, 2,782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1,564, 2,498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-341, 198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-84, 2,812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-1,454, -501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-1,007, -331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-808, -32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-49, 1,021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5,356, 7,348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864, 1,934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5,067, 6,510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-1,821, -423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-3,399, -2,105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4,238, 5,482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5,108, 6,099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4,729, 8,522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441, 1,755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2,550, 4,144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8,176, 12,292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-6,710, -2,800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-737, 6,599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Substance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1,636, 3,058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-14,620, 48,737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223, 12,406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1,727, 2,648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2,966, 3,895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-811, 42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9"/>
    <w:bookmarkEnd w:id="30"/>
    <w:bookmarkStart w:id="32" w:name="supplemental-information"/>
    <w:p>
      <w:pPr>
        <w:pStyle w:val="Heading2"/>
      </w:pPr>
      <w:r>
        <w:t xml:space="preserve">Supplemental Information:</w:t>
      </w:r>
    </w:p>
    <w:bookmarkStart w:id="31" w:name="icd-10-codes"/>
    <w:p>
      <w:pPr>
        <w:pStyle w:val="Heading3"/>
      </w:pPr>
      <w:r>
        <w:t xml:space="preserve">ICD-10 Codes: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Pregnancy:</w:t>
      </w:r>
      <w:r>
        <w:t xml:space="preserve"> </w:t>
      </w:r>
      <w:r>
        <w:t xml:space="preserve">O4202, O4212, O4292, O6020X0, O6020X1, O6020X2, O6020X3, O6020X4, O6020X5, O6020X9, O6022X0, O6022X1, O6022X2, O6022X3, O6022X4, O6022X5, O6022X9, O6023X0, O6023X1, O6023X2, O6023X3, O6023X4, O6023X5, O6023X9, O80, Z3201, Z331, Z333, Z3400, Z3401, Z3402, Z3403, Z3480, Z3481, Z3482, Z3483, Z3490, Z3491, Z3492, Z3493, Z390, Z391, Z392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Eclampsia/Preeclampsia:</w:t>
      </w:r>
      <w:r>
        <w:t xml:space="preserve"> </w:t>
      </w:r>
      <w:r>
        <w:t xml:space="preserve">O111, O112, O113, O114, O115, O119, O1400, O1402, O1403, O1404, O1405, O1410, O1412, O1413, O1414, O1415, O1490, O1492, O1493, O1494, O1495, O1500, O1502, O1503, O151, O152, O159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Postpartum Hemorrhage:</w:t>
      </w:r>
      <w:r>
        <w:t xml:space="preserve"> </w:t>
      </w:r>
      <w:r>
        <w:t xml:space="preserve">O721, O722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Gestational Diabetes:</w:t>
      </w:r>
      <w:r>
        <w:t xml:space="preserve"> </w:t>
      </w:r>
      <w:r>
        <w:t xml:space="preserve">O24410, O24414, O24415, O24420, O24424, O24425, O24430, O24434, O24435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Gestational Hypertension:</w:t>
      </w:r>
      <w:r>
        <w:t xml:space="preserve"> </w:t>
      </w:r>
      <w:r>
        <w:t xml:space="preserve">O131, O132, O133, O134, O135, O139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Cesarean Section:</w:t>
      </w:r>
      <w:r>
        <w:t xml:space="preserve"> </w:t>
      </w:r>
      <w:r>
        <w:t xml:space="preserve">10D00Z0, 10D00Z1, 10D00Z2</w:t>
      </w:r>
    </w:p>
    <w:p>
      <w:pPr>
        <w:pStyle w:val="FirstParagraph"/>
      </w:pPr>
      <w:r>
        <w:t xml:space="preserve">All other ICD-10 codes for co-morbidities were defined based on the individual components with the Charlson Comorbidity Index.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Obstructive Sleep Apnea on Maternal Pregnancy Outcomes</dc:title>
  <dc:creator>Yamna Waseem; Ali Salman</dc:creator>
  <cp:keywords/>
  <dcterms:created xsi:type="dcterms:W3CDTF">2025-01-23T17:02:17Z</dcterms:created>
  <dcterms:modified xsi:type="dcterms:W3CDTF">2025-01-23T17:02:17Z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National Inpatient Sample Analysis (2018–2020)</vt:lpwstr>
  </property>
  <property fmtid="{D5CDD505-2E9C-101B-9397-08002B2CF9AE}" pid="12" name="toc-title">
    <vt:lpwstr>Table of contents</vt:lpwstr>
  </property>
</Properties>
</file>