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Eggers at al. (2019)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Objectives: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Sample: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the R Statistical Language (Version 4.4.1; R Foundation for Statistical Computing, Vienna, Austria)</w:t>
      </w:r>
    </w:p>
    <w:bookmarkEnd w:id="21"/>
    <w:bookmarkStart w:id="22" w:name="patient-characteristics-table"/>
    <w:p>
      <w:pPr>
        <w:pStyle w:val="Heading2"/>
      </w:pPr>
      <w:r>
        <w:t xml:space="preserve">Patient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Principal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Hypertensive Nephrosclerosis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Diabetic Nephropathy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Glomerular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Chronic Liver Disease/Hepatorenal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Retransplantation/Graft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Oncologic Indications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Nephrotoxicity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Polycystic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test; Fisher's exact test</w:t>
            </w:r>
          </w:p>
        </w:tc>
      </w:tr>
    </w:tbl>
    <w:bookmarkEnd w:id="22"/>
    <w:bookmarkStart w:id="23" w:name="surgery-characteristics-table"/>
    <w:p>
      <w:pPr>
        <w:pStyle w:val="Heading2"/>
      </w:pPr>
      <w:r>
        <w:t xml:space="preserve">Surgery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2024-10-25T14:59:05Z</dcterms:created>
  <dcterms:modified xsi:type="dcterms:W3CDTF">2024-10-25T14:59:05Z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