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0221EC8" w:rsidR="00A91553" w:rsidRPr="00585CC0" w:rsidRDefault="00585CC0">
      <w:pPr>
        <w:rPr>
          <w:sz w:val="24"/>
          <w:szCs w:val="24"/>
          <w:lang w:val="nl-NL"/>
        </w:rPr>
      </w:pPr>
      <w:r w:rsidRPr="00585CC0">
        <w:rPr>
          <w:color w:val="4A86E8"/>
          <w:sz w:val="36"/>
          <w:szCs w:val="36"/>
          <w:lang w:val="nl-NL"/>
        </w:rPr>
        <w:t xml:space="preserve">Betere </w:t>
      </w:r>
      <w:proofErr w:type="spellStart"/>
      <w:r w:rsidRPr="00585CC0">
        <w:rPr>
          <w:color w:val="4A86E8"/>
          <w:sz w:val="36"/>
          <w:szCs w:val="36"/>
          <w:lang w:val="nl-NL"/>
        </w:rPr>
        <w:t>waardelevering</w:t>
      </w:r>
      <w:proofErr w:type="spellEnd"/>
      <w:r w:rsidRPr="00585CC0">
        <w:rPr>
          <w:color w:val="4A86E8"/>
          <w:sz w:val="36"/>
          <w:szCs w:val="36"/>
          <w:lang w:val="nl-NL"/>
        </w:rPr>
        <w:t xml:space="preserve"> </w:t>
      </w:r>
      <w:r w:rsidR="004B69FA">
        <w:rPr>
          <w:color w:val="4A86E8"/>
          <w:sz w:val="36"/>
          <w:szCs w:val="36"/>
          <w:lang w:val="nl-NL"/>
        </w:rPr>
        <w:t>in</w:t>
      </w:r>
      <w:r w:rsidRPr="00585CC0">
        <w:rPr>
          <w:color w:val="4A86E8"/>
          <w:sz w:val="36"/>
          <w:szCs w:val="36"/>
          <w:lang w:val="nl-NL"/>
        </w:rPr>
        <w:t xml:space="preserve"> onzekere omstandigheden</w:t>
      </w:r>
    </w:p>
    <w:p w14:paraId="6543428F" w14:textId="7438026F"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75E9C393" w:rsidR="00A91553" w:rsidRPr="0081460B" w:rsidRDefault="0081460B">
      <w:pPr>
        <w:rPr>
          <w:lang w:val="nl-NL"/>
        </w:rPr>
      </w:pPr>
      <w:proofErr w:type="gramStart"/>
      <w:r w:rsidRPr="0081460B">
        <w:rPr>
          <w:lang w:val="nl-NL"/>
        </w:rPr>
        <w:t>EBM right</w:t>
      </w:r>
      <w:proofErr w:type="gramEnd"/>
      <w:r w:rsidRPr="0081460B">
        <w:rPr>
          <w:lang w:val="nl-NL"/>
        </w:rPr>
        <w:t xml:space="preserve"> zich op drie doelniveaus:</w:t>
      </w:r>
    </w:p>
    <w:p w14:paraId="366FC856" w14:textId="77777777" w:rsidR="00A91553" w:rsidRPr="0081460B" w:rsidRDefault="00A91553">
      <w:pPr>
        <w:rPr>
          <w:lang w:val="nl-NL"/>
        </w:rPr>
      </w:pPr>
    </w:p>
    <w:p w14:paraId="4D076386" w14:textId="77777777" w:rsidR="0081460B" w:rsidRPr="000D1F12" w:rsidRDefault="0081460B" w:rsidP="0081460B">
      <w:pPr>
        <w:numPr>
          <w:ilvl w:val="0"/>
          <w:numId w:val="3"/>
        </w:numPr>
        <w:rPr>
          <w:lang w:val="nl-NL"/>
        </w:rPr>
      </w:pPr>
      <w:r w:rsidRPr="0081460B">
        <w:rPr>
          <w:b/>
          <w:lang w:val="nl-NL"/>
        </w:rPr>
        <w:t>Strategische Doelen</w:t>
      </w:r>
      <w:r w:rsidRPr="0081460B">
        <w:rPr>
          <w:bCs/>
          <w:lang w:val="nl-NL"/>
        </w:rPr>
        <w:t xml:space="preserve">, belangrijke zaken die de organisatie graag wil behalen.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81460B">
        <w:rPr>
          <w:bCs/>
          <w:i/>
          <w:iCs/>
          <w:lang w:val="nl-NL"/>
        </w:rPr>
        <w:t>Tussenliggende Doelen</w:t>
      </w:r>
      <w:r w:rsidRPr="0081460B">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76CA37F2" w14:textId="77777777" w:rsidR="00A91553" w:rsidRPr="0081460B" w:rsidRDefault="00A91553">
      <w:pPr>
        <w:rPr>
          <w:sz w:val="17"/>
          <w:szCs w:val="17"/>
          <w:lang w:val="nl-NL"/>
        </w:rPr>
      </w:pPr>
    </w:p>
    <w:p w14:paraId="46D14197" w14:textId="77777777" w:rsidR="00A91553" w:rsidRPr="0081460B" w:rsidRDefault="00000000">
      <w:pPr>
        <w:jc w:val="center"/>
        <w:rPr>
          <w:sz w:val="17"/>
          <w:szCs w:val="17"/>
          <w:lang w:val="nl-NL"/>
        </w:rPr>
      </w:pPr>
      <w:r w:rsidRPr="0081460B">
        <w:rPr>
          <w:sz w:val="17"/>
          <w:szCs w:val="17"/>
          <w:lang w:val="nl-NL"/>
        </w:rPr>
        <w:t xml:space="preserve"> </w:t>
      </w:r>
    </w:p>
    <w:p w14:paraId="64CE0F4D" w14:textId="67A2A545" w:rsidR="00A91553" w:rsidRDefault="00C81960">
      <w:pPr>
        <w:jc w:val="center"/>
        <w:rPr>
          <w:sz w:val="17"/>
          <w:szCs w:val="17"/>
        </w:rPr>
      </w:pPr>
      <w:r>
        <w:rPr>
          <w:noProof/>
          <w:sz w:val="17"/>
          <w:szCs w:val="17"/>
        </w:rPr>
        <w:lastRenderedPageBreak/>
        <w:drawing>
          <wp:inline distT="0" distB="0" distL="0" distR="0" wp14:anchorId="65AB45F2" wp14:editId="60E3FD97">
            <wp:extent cx="5943600" cy="5943600"/>
            <wp:effectExtent l="0" t="0" r="0" b="0"/>
            <wp:docPr id="536749180"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49180" name="Picture 1" descr="A diagram of 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C233DE1" w14:textId="1894C831" w:rsidR="00A91553" w:rsidRDefault="00C81960" w:rsidP="00C81960">
      <w:pPr>
        <w:rPr>
          <w:rStyle w:val="FootnoteReference"/>
          <w:b/>
          <w:vertAlign w:val="baseline"/>
          <w:lang w:val="nl-NL"/>
        </w:rPr>
      </w:pPr>
      <w:r w:rsidRPr="00C81960">
        <w:rPr>
          <w:b/>
          <w:lang w:val="nl-NL"/>
        </w:rPr>
        <w:t>Figuur 1: Behalen van Strategisch Doelen vereist experimenteren, inspecteren, en aanpassen</w:t>
      </w:r>
      <w:r w:rsidRPr="00C81960">
        <w:rPr>
          <w:rStyle w:val="FootnoteReference"/>
          <w:b/>
          <w:vertAlign w:val="baseline"/>
          <w:lang w:val="nl-NL"/>
        </w:rPr>
        <w:t xml:space="preserve"> </w:t>
      </w:r>
      <w:r w:rsidR="00061984">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Pr="00C81960"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43BCB135"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proofErr w:type="gramStart"/>
      <w:r w:rsidRPr="00197902">
        <w:rPr>
          <w:lang w:val="nl-NL"/>
        </w:rPr>
        <w:t>korte termijn doelstellingen</w:t>
      </w:r>
      <w:proofErr w:type="gramEnd"/>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104731AC"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w:t>
      </w:r>
      <w:proofErr w:type="spellStart"/>
      <w:r w:rsidRPr="003722B4">
        <w:rPr>
          <w:bCs/>
          <w:lang w:val="nl-NL"/>
        </w:rPr>
        <w:t>experiments</w:t>
      </w:r>
      <w:proofErr w:type="spellEnd"/>
      <w:r w:rsidRPr="003722B4">
        <w:rPr>
          <w:bCs/>
          <w:lang w:val="nl-NL"/>
        </w:rPr>
        <w:t xml:space="preserve"> in toom, bijvoorbeeld een organisatie kan 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739A0380" w:rsidR="00A91553" w:rsidRPr="003722B4" w:rsidRDefault="00000000">
      <w:pPr>
        <w:numPr>
          <w:ilvl w:val="0"/>
          <w:numId w:val="5"/>
        </w:numPr>
        <w:rPr>
          <w:lang w:val="nl-NL"/>
        </w:rPr>
      </w:pPr>
      <w:proofErr w:type="spellStart"/>
      <w:r w:rsidRPr="003722B4">
        <w:rPr>
          <w:b/>
          <w:lang w:val="nl-NL"/>
        </w:rPr>
        <w:t>Outcomes</w:t>
      </w:r>
      <w:proofErr w:type="spellEnd"/>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onbereikbaar was </w:t>
      </w:r>
      <w:r w:rsidR="003722B4" w:rsidRPr="003722B4">
        <w:rPr>
          <w:lang w:val="nl-NL"/>
        </w:rPr>
        <w:lastRenderedPageBreak/>
        <w:t>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2FDECA84"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proofErr w:type="spellStart"/>
      <w:r w:rsidR="004B69FA" w:rsidRPr="004B69FA">
        <w:rPr>
          <w:lang w:val="nl-NL"/>
        </w:rPr>
        <w:t>impacten</w:t>
      </w:r>
      <w:proofErr w:type="spellEnd"/>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5DFCE54F" w:rsidR="00A91553" w:rsidRDefault="003722B4">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xml:space="preserve">) is geen garantie voor verbeterde klantervaringen (uitkomsten). </w:t>
      </w:r>
      <w:r w:rsidRPr="003722B4">
        <w:t>| The problem most organizations face, which is often reflected in the things they measure, is that measuring activities and outputs is easy, while measuring outcomes is difficult. Organizations may gather a lot of data with insufficient information about their ability to deliver value. However, delivering valuable outcomes to customers is essential if organizations are to reach their goals. For example, working more hours (activities) and delivering more features (outputs) does not necessarily lead to improved customer experiences (outcomes).</w:t>
      </w:r>
    </w:p>
    <w:p w14:paraId="7CB15092" w14:textId="77777777" w:rsidR="003722B4" w:rsidRDefault="003722B4"/>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w:t>
      </w:r>
      <w:r w:rsidRPr="00CC46E5">
        <w:rPr>
          <w:lang w:val="nl-NL"/>
        </w:rPr>
        <w:lastRenderedPageBreak/>
        <w:t xml:space="preserve">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verslechtering.Adapting</w:t>
      </w:r>
      <w:proofErr w:type="spellEnd"/>
      <w:proofErr w:type="gramEnd"/>
      <w:r w:rsidRPr="000D1F12">
        <w:rPr>
          <w:bCs/>
          <w:lang w:val="nl-NL"/>
        </w:rPr>
        <w:t xml:space="preserve"> </w:t>
      </w:r>
      <w:proofErr w:type="spellStart"/>
      <w:r w:rsidRPr="000D1F12">
        <w:rPr>
          <w:bCs/>
          <w:lang w:val="nl-NL"/>
        </w:rPr>
        <w:t>your</w:t>
      </w:r>
      <w:proofErr w:type="spellEnd"/>
      <w:r w:rsidRPr="000D1F12">
        <w:rPr>
          <w:bCs/>
          <w:lang w:val="nl-NL"/>
        </w:rPr>
        <w:t xml:space="preserve"> goals or </w:t>
      </w:r>
      <w:proofErr w:type="spellStart"/>
      <w:r w:rsidRPr="000D1F12">
        <w:rPr>
          <w:bCs/>
          <w:lang w:val="nl-NL"/>
        </w:rPr>
        <w:t>your</w:t>
      </w:r>
      <w:proofErr w:type="spellEnd"/>
      <w:r w:rsidRPr="000D1F12">
        <w:rPr>
          <w:bCs/>
          <w:lang w:val="nl-NL"/>
        </w:rPr>
        <w:t xml:space="preserve"> approach </w:t>
      </w:r>
      <w:proofErr w:type="spellStart"/>
      <w:r w:rsidRPr="000D1F12">
        <w:rPr>
          <w:bCs/>
          <w:lang w:val="nl-NL"/>
        </w:rPr>
        <w:t>based</w:t>
      </w:r>
      <w:proofErr w:type="spellEnd"/>
      <w:r w:rsidRPr="000D1F12">
        <w:rPr>
          <w:bCs/>
          <w:lang w:val="nl-NL"/>
        </w:rPr>
        <w:t xml:space="preserve"> on </w:t>
      </w:r>
      <w:proofErr w:type="spellStart"/>
      <w:r w:rsidRPr="000D1F12">
        <w:rPr>
          <w:bCs/>
          <w:lang w:val="nl-NL"/>
        </w:rPr>
        <w:t>what</w:t>
      </w:r>
      <w:proofErr w:type="spellEnd"/>
      <w:r w:rsidRPr="000D1F12">
        <w:rPr>
          <w:bCs/>
          <w:lang w:val="nl-NL"/>
        </w:rPr>
        <w:t xml:space="preserve"> </w:t>
      </w:r>
      <w:proofErr w:type="spellStart"/>
      <w:r w:rsidRPr="000D1F12">
        <w:rPr>
          <w:bCs/>
          <w:lang w:val="nl-NL"/>
        </w:rPr>
        <w:t>you</w:t>
      </w:r>
      <w:proofErr w:type="spellEnd"/>
      <w:r w:rsidRPr="000D1F12">
        <w:rPr>
          <w:bCs/>
          <w:lang w:val="nl-NL"/>
        </w:rPr>
        <w:t xml:space="preserve"> </w:t>
      </w:r>
      <w:proofErr w:type="spellStart"/>
      <w:r w:rsidRPr="000D1F12">
        <w:rPr>
          <w:bCs/>
          <w:lang w:val="nl-NL"/>
        </w:rPr>
        <w:t>learned</w:t>
      </w:r>
      <w:proofErr w:type="spellEnd"/>
      <w:r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0B13CB52" w14:textId="030672CA"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5A5EF41" w14:textId="77777777" w:rsidR="00C1050B" w:rsidRDefault="00C1050B" w:rsidP="00C1050B">
      <w:pPr>
        <w:pStyle w:val="Heading1"/>
        <w:rPr>
          <w:lang w:val="en-US"/>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lastRenderedPageBreak/>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4B61E4" w:rsidRDefault="004B61E4" w:rsidP="004B61E4">
      <w:pPr>
        <w:pStyle w:val="Heading1"/>
      </w:pPr>
      <w:r w:rsidRPr="004B61E4">
        <w:t xml:space="preserve">EBM </w:t>
      </w:r>
      <w:proofErr w:type="spellStart"/>
      <w:r w:rsidRPr="004B61E4">
        <w:t>bevat</w:t>
      </w:r>
      <w:proofErr w:type="spellEnd"/>
      <w:r w:rsidRPr="004B61E4">
        <w:t xml:space="preserve"> vier Key Value Areas </w:t>
      </w:r>
      <w:proofErr w:type="spellStart"/>
      <w:r w:rsidRPr="004B61E4">
        <w:t>voor</w:t>
      </w:r>
      <w:proofErr w:type="spellEnd"/>
      <w:r w:rsidRPr="004B61E4">
        <w:t xml:space="preserve"> het </w:t>
      </w:r>
      <w:proofErr w:type="spellStart"/>
      <w:r w:rsidRPr="004B61E4">
        <w:t>Onderzoeken</w:t>
      </w:r>
      <w:proofErr w:type="spellEnd"/>
      <w:r w:rsidRPr="004B61E4">
        <w:t xml:space="preserve"> van </w:t>
      </w:r>
      <w:proofErr w:type="spellStart"/>
      <w:r w:rsidRPr="004B61E4">
        <w:t>Verbeterkansen</w:t>
      </w:r>
      <w:proofErr w:type="spellEnd"/>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w:t>
      </w:r>
      <w:r w:rsidR="00000000" w:rsidRPr="005D178B">
        <w:rPr>
          <w:lang w:val="nl-NL"/>
        </w:rPr>
        <w:t xml:space="preserve"> </w:t>
      </w:r>
    </w:p>
    <w:p w14:paraId="5781C37A" w14:textId="61DE3C9A" w:rsidR="00A91553" w:rsidRDefault="005D178B">
      <w:r>
        <w:rPr>
          <w:noProof/>
        </w:rPr>
        <w:lastRenderedPageBreak/>
        <w:drawing>
          <wp:inline distT="0" distB="0" distL="0" distR="0" wp14:anchorId="1628A5A3" wp14:editId="1CBAB12C">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w:t>
      </w:r>
      <w:r w:rsidR="00000000" w:rsidRPr="005D178B">
        <w:rPr>
          <w:lang w:val="nl-NL"/>
        </w:rPr>
        <w:t xml:space="preserve"> </w:t>
      </w:r>
    </w:p>
    <w:p w14:paraId="30E9FB52" w14:textId="77777777" w:rsidR="00A91553" w:rsidRDefault="00000000">
      <w:pPr>
        <w:pStyle w:val="Heading2"/>
        <w:spacing w:after="240"/>
      </w:pPr>
      <w:bookmarkStart w:id="8" w:name="_qdisjmqtnsg9" w:colFirst="0" w:colLast="0"/>
      <w:bookmarkEnd w:id="8"/>
      <w:r>
        <w:t>Current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00000000"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Betrokken medewerkers die weten hoe ze het product kunnen onderhouden, continueren en verbeteren zijn een van de meest significante middelen van een organisatie, en tevreden medewerkers tonen hogere betrokkenheid en productiviteit.</w:t>
      </w:r>
      <w:r w:rsidR="00000000" w:rsidRPr="005228CF">
        <w:rPr>
          <w:lang w:val="nl-NL"/>
        </w:rPr>
        <w:t xml:space="preserve">  </w:t>
      </w:r>
    </w:p>
    <w:p w14:paraId="18064FE9" w14:textId="77777777" w:rsidR="00A91553" w:rsidRDefault="00000000">
      <w:pPr>
        <w:pStyle w:val="Heading2"/>
        <w:spacing w:after="240"/>
      </w:pPr>
      <w:bookmarkStart w:id="10" w:name="_q8tl3vha54if" w:colFirst="0" w:colLast="0"/>
      <w:bookmarkEnd w:id="10"/>
      <w:r>
        <w:t>Unrealized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r w:rsidR="00000000" w:rsidRPr="005228CF">
        <w:rPr>
          <w:lang w:val="nl-NL"/>
        </w:rPr>
        <w:t>.</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w:t>
      </w:r>
      <w:r w:rsidRPr="005228CF">
        <w:rPr>
          <w:bCs/>
          <w:lang w:val="nl-NL"/>
        </w:rPr>
        <w:lastRenderedPageBreak/>
        <w:t>marktpotentieel is. Het is waarschijnlijk gerechtvaardigd om een poging te doen om CV te verhogen, gegeven de potentiële winst, door te investeren in het product ondanks dat het product momenteel geen hoge CV oplevert.</w:t>
      </w:r>
      <w:r w:rsidR="00000000"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r w:rsidR="00000000" w:rsidRPr="005228CF">
        <w:rPr>
          <w:lang w:val="nl-NL"/>
        </w:rPr>
        <w:t>.</w:t>
      </w:r>
    </w:p>
    <w:p w14:paraId="0F43EC95" w14:textId="77777777" w:rsidR="00A91553" w:rsidRPr="005228CF" w:rsidRDefault="00A91553">
      <w:pPr>
        <w:ind w:left="720"/>
        <w:rPr>
          <w:lang w:val="nl-NL"/>
        </w:rPr>
      </w:pPr>
    </w:p>
    <w:p w14:paraId="3BD7BF8F" w14:textId="77777777" w:rsidR="00A91553" w:rsidRDefault="00000000">
      <w:pPr>
        <w:pStyle w:val="Heading2"/>
        <w:spacing w:after="240"/>
      </w:pPr>
      <w:bookmarkStart w:id="12" w:name="_56wtnnnebonh" w:colFirst="0" w:colLast="0"/>
      <w:bookmarkEnd w:id="12"/>
      <w:r>
        <w:t>Ability to Innovate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00000000" w:rsidRPr="005228CF">
        <w:rPr>
          <w:lang w:val="nl-NL"/>
        </w:rPr>
        <w:t xml:space="preserve">: </w:t>
      </w:r>
      <w:r w:rsidRPr="005228CF">
        <w:rPr>
          <w:lang w:val="nl-NL"/>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w:t>
      </w:r>
      <w:r w:rsidR="00000000" w:rsidRPr="005228CF">
        <w:rPr>
          <w:lang w:val="nl-NL"/>
        </w:rPr>
        <w:t xml:space="preserve">.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r w:rsidR="00000000" w:rsidRPr="005228CF">
        <w:rPr>
          <w:lang w:val="nl-NL"/>
        </w:rPr>
        <w:t>.</w:t>
      </w:r>
    </w:p>
    <w:p w14:paraId="59FE429F" w14:textId="77777777" w:rsidR="00A91553" w:rsidRDefault="00000000">
      <w:pPr>
        <w:pStyle w:val="Heading2"/>
        <w:spacing w:after="240"/>
      </w:pPr>
      <w:bookmarkStart w:id="14" w:name="_680k88ev3qh5" w:colFirst="0" w:colLast="0"/>
      <w:bookmarkEnd w:id="14"/>
      <w:r>
        <w:lastRenderedPageBreak/>
        <w:t>Time-to-Market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Wanneer T2M verbetert, verbetert ook de frequentie waarmee een organisatie haar CV kan mogelijk kan aanpassen.</w:t>
      </w:r>
      <w:r w:rsidR="00000000" w:rsidRPr="005228CF">
        <w:rPr>
          <w:lang w:val="nl-NL"/>
        </w:rPr>
        <w:t xml:space="preserve">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00000000" w:rsidRPr="00B305CB">
        <w:rPr>
          <w:lang w:val="nl-NL"/>
        </w:rPr>
        <w:t xml:space="preserve">: </w:t>
      </w:r>
      <w:r w:rsidRPr="00B305CB">
        <w:rPr>
          <w:lang w:val="nl-NL"/>
        </w:rPr>
        <w:t xml:space="preserve">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w:t>
      </w:r>
      <w:r w:rsidR="00000000" w:rsidRPr="00B305CB">
        <w:rPr>
          <w:lang w:val="nl-NL"/>
        </w:rPr>
        <w:t xml:space="preserve">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lastRenderedPageBreak/>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A878E3" w:rsidRDefault="00A878E3">
      <w:pPr>
        <w:spacing w:after="100"/>
        <w:rPr>
          <w:b/>
          <w:color w:val="3B6FE2"/>
          <w:sz w:val="35"/>
          <w:szCs w:val="35"/>
          <w:lang w:val="nl-NL"/>
        </w:rPr>
      </w:pPr>
      <w:r w:rsidRPr="00A878E3">
        <w:rPr>
          <w:b/>
          <w:color w:val="3B6FE2"/>
          <w:sz w:val="35"/>
          <w:szCs w:val="35"/>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A878E3" w:rsidRDefault="00A878E3">
      <w:pPr>
        <w:spacing w:after="100"/>
        <w:rPr>
          <w:b/>
          <w:color w:val="3B6FE2"/>
          <w:sz w:val="35"/>
          <w:szCs w:val="35"/>
          <w:lang w:val="nl-NL"/>
        </w:rPr>
      </w:pPr>
      <w:r w:rsidRPr="00A878E3">
        <w:rPr>
          <w:b/>
          <w:color w:val="3B6FE2"/>
          <w:sz w:val="35"/>
          <w:szCs w:val="35"/>
          <w:lang w:val="nl-NL"/>
        </w:rPr>
        <w:t>Dankbetuigingen</w:t>
      </w:r>
    </w:p>
    <w:p w14:paraId="05949A15" w14:textId="2322528F" w:rsidR="00A9155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22DCBB26" w14:textId="77777777" w:rsidR="00A878E3" w:rsidRDefault="00A878E3">
      <w:pPr>
        <w:rPr>
          <w:lang w:val="nl-NL"/>
        </w:rPr>
      </w:pP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A878E3" w:rsidRDefault="00A878E3" w:rsidP="00A878E3">
      <w:pPr>
        <w:rPr>
          <w:lang w:val="nl-NL"/>
        </w:rPr>
      </w:pPr>
      <w:r w:rsidRPr="00A878E3">
        <w:rPr>
          <w:lang w:val="nl-NL"/>
        </w:rPr>
        <w:t>Vertaalgroep: Scrum Facilitators Community</w:t>
      </w:r>
    </w:p>
    <w:p w14:paraId="6AF833E3" w14:textId="0F43D40A" w:rsidR="00A878E3" w:rsidRDefault="00A878E3" w:rsidP="00A878E3">
      <w:pPr>
        <w:rPr>
          <w:lang w:val="en-US"/>
        </w:rPr>
      </w:pPr>
      <w:r w:rsidRPr="00A878E3">
        <w:rPr>
          <w:lang w:val="en-US"/>
        </w:rPr>
        <w:t xml:space="preserve">Contact email: </w:t>
      </w:r>
      <w:hyperlink r:id="rId10" w:history="1">
        <w:r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00DF6588" w14:textId="77777777" w:rsidR="00A878E3" w:rsidRDefault="00A878E3" w:rsidP="00A878E3">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7A8E0C7E" w14:textId="77777777" w:rsidR="00A878E3" w:rsidRDefault="00A878E3" w:rsidP="00A878E3">
      <w:pPr>
        <w:pStyle w:val="Heading1"/>
        <w:rPr>
          <w:lang w:val="nl-NL"/>
        </w:rPr>
      </w:pPr>
    </w:p>
    <w:p w14:paraId="1A6D7785" w14:textId="77777777" w:rsidR="00A878E3" w:rsidRDefault="00A878E3" w:rsidP="00A878E3">
      <w:pPr>
        <w:pStyle w:val="Heading1"/>
        <w:rPr>
          <w:lang w:val="nl-NL"/>
        </w:rPr>
      </w:pPr>
      <w:r w:rsidRPr="00A878E3">
        <w:rPr>
          <w:lang w:val="nl-NL"/>
        </w:rPr>
        <w:t>Overzicht van wijzigingen</w:t>
      </w:r>
    </w:p>
    <w:tbl>
      <w:tblPr>
        <w:tblStyle w:val="TableGrid"/>
        <w:tblW w:w="0" w:type="auto"/>
        <w:tblLook w:val="04A0" w:firstRow="1" w:lastRow="0" w:firstColumn="1" w:lastColumn="0" w:noHBand="0" w:noVBand="1"/>
      </w:tblPr>
      <w:tblGrid>
        <w:gridCol w:w="988"/>
        <w:gridCol w:w="8362"/>
      </w:tblGrid>
      <w:tr w:rsidR="00A878E3" w:rsidRPr="00A878E3" w14:paraId="661544F0" w14:textId="77777777" w:rsidTr="00A878E3">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14:paraId="645F75FB" w14:textId="77777777" w:rsidTr="00A878E3">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878E3">
              <w:rPr>
                <w:lang w:val="nl-NL"/>
              </w:rPr>
              <w:t xml:space="preserve">Volledige herziening op basis van de 2024 versie van de Engelse </w:t>
            </w:r>
            <w:proofErr w:type="spellStart"/>
            <w:r w:rsidRPr="00A878E3">
              <w:rPr>
                <w:lang w:val="nl-NL"/>
              </w:rPr>
              <w:t>Evidence-Based</w:t>
            </w:r>
            <w:proofErr w:type="spellEnd"/>
            <w:r w:rsidRPr="00A878E3">
              <w:rPr>
                <w:lang w:val="nl-NL"/>
              </w:rPr>
              <w:t xml:space="preserve"> Management Guide. </w:t>
            </w:r>
            <w:r>
              <w:rPr>
                <w:lang w:val="nl-NL"/>
              </w:rPr>
              <w:t xml:space="preserve">In het bijgevoegde blog (Appendix 2) staan de belangrijkste veranderingen beschreven. </w:t>
            </w:r>
            <w:r w:rsidRPr="00A878E3">
              <w:rPr>
                <w:lang w:val="nl-NL"/>
              </w:rPr>
              <w:t xml:space="preserve">Zie voor </w:t>
            </w:r>
            <w:r>
              <w:rPr>
                <w:lang w:val="nl-NL"/>
              </w:rPr>
              <w:t xml:space="preserve">alle </w:t>
            </w:r>
            <w:r w:rsidRPr="00A878E3">
              <w:rPr>
                <w:lang w:val="nl-NL"/>
              </w:rPr>
              <w:t xml:space="preserve">details en veranderingen ten opzichte van de vorige vertaling van de 2020 </w:t>
            </w:r>
            <w:r>
              <w:rPr>
                <w:lang w:val="nl-NL"/>
              </w:rPr>
              <w:t xml:space="preserve">versie </w:t>
            </w:r>
            <w:hyperlink r:id="rId14" w:history="1">
              <w:r w:rsidRPr="00EA3BC1">
                <w:rPr>
                  <w:rStyle w:val="Hyperlink"/>
                  <w:lang w:val="nl-NL"/>
                </w:rPr>
                <w:t>https://github.com/ScrumFacilitators/EBM-Gids-NL/releases</w:t>
              </w:r>
            </w:hyperlink>
            <w:r>
              <w:rPr>
                <w:lang w:val="nl-NL"/>
              </w:rPr>
              <w:t xml:space="preserve">  </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77777777" w:rsidR="00A91553" w:rsidRDefault="00000000">
      <w:pPr>
        <w:spacing w:after="360"/>
        <w:rPr>
          <w:b/>
          <w:color w:val="3B6FE2"/>
          <w:sz w:val="35"/>
          <w:szCs w:val="35"/>
        </w:rPr>
      </w:pPr>
      <w:r>
        <w:rPr>
          <w:b/>
          <w:color w:val="3B6FE2"/>
          <w:sz w:val="35"/>
          <w:szCs w:val="35"/>
        </w:rPr>
        <w:lastRenderedPageBreak/>
        <w:t>Appendix:  Example Key Value Measures</w:t>
      </w:r>
    </w:p>
    <w:p w14:paraId="6FBEE9DF" w14:textId="77777777" w:rsidR="00A91553" w:rsidRPr="005E3FF4" w:rsidRDefault="00000000">
      <w:pPr>
        <w:spacing w:after="220"/>
      </w:pPr>
      <w:r w:rsidRPr="005E3FF4">
        <w:t>To encourage adaptability, EBM defines no specific Key Value Measures (KVMs). KVMs listed below are presented to show the kinds of measures that might help an organization to understand its current state, desired future state, and factors that influence its ability to improve.</w:t>
      </w:r>
    </w:p>
    <w:p w14:paraId="0A1F043B" w14:textId="77777777" w:rsidR="00A91553" w:rsidRPr="005E3FF4" w:rsidRDefault="00000000">
      <w:pPr>
        <w:spacing w:after="220"/>
        <w:rPr>
          <w:b/>
        </w:rPr>
      </w:pPr>
      <w:r w:rsidRPr="005E3FF4">
        <w:rPr>
          <w:b/>
        </w:rPr>
        <w:t>Current Value (CV)</w:t>
      </w:r>
    </w:p>
    <w:tbl>
      <w:tblPr>
        <w:tblStyle w:val="a"/>
        <w:tblW w:w="6750" w:type="dxa"/>
        <w:tblBorders>
          <w:top w:val="nil"/>
          <w:left w:val="nil"/>
          <w:bottom w:val="nil"/>
          <w:right w:val="nil"/>
          <w:insideH w:val="nil"/>
          <w:insideV w:val="nil"/>
        </w:tblBorders>
        <w:tblLayout w:type="fixed"/>
        <w:tblLook w:val="0600" w:firstRow="0" w:lastRow="0" w:firstColumn="0" w:lastColumn="0" w:noHBand="1" w:noVBand="1"/>
      </w:tblPr>
      <w:tblGrid>
        <w:gridCol w:w="2070"/>
        <w:gridCol w:w="4680"/>
      </w:tblGrid>
      <w:tr w:rsidR="00A91553" w14:paraId="1D5CCE20" w14:textId="77777777">
        <w:trPr>
          <w:trHeight w:val="330"/>
        </w:trPr>
        <w:tc>
          <w:tcPr>
            <w:tcW w:w="2070"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62F1F46B" w14:textId="77777777" w:rsidR="00A91553" w:rsidRDefault="00000000">
            <w:pPr>
              <w:ind w:left="100"/>
              <w:rPr>
                <w:color w:val="FFFFFF"/>
                <w:sz w:val="15"/>
                <w:szCs w:val="15"/>
              </w:rPr>
            </w:pPr>
            <w:r>
              <w:rPr>
                <w:color w:val="FFFFFF"/>
                <w:sz w:val="15"/>
                <w:szCs w:val="15"/>
              </w:rPr>
              <w:t>KVM</w:t>
            </w:r>
          </w:p>
        </w:tc>
        <w:tc>
          <w:tcPr>
            <w:tcW w:w="4680"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773A946B" w14:textId="77777777" w:rsidR="00A91553" w:rsidRDefault="00000000">
            <w:pPr>
              <w:ind w:left="100"/>
              <w:rPr>
                <w:color w:val="FFFFFF"/>
                <w:sz w:val="15"/>
                <w:szCs w:val="15"/>
              </w:rPr>
            </w:pPr>
            <w:r>
              <w:rPr>
                <w:color w:val="FFFFFF"/>
                <w:sz w:val="15"/>
                <w:szCs w:val="15"/>
              </w:rPr>
              <w:t>Measuring:</w:t>
            </w:r>
          </w:p>
        </w:tc>
      </w:tr>
      <w:tr w:rsidR="00A91553" w14:paraId="704FE1B3" w14:textId="77777777">
        <w:trPr>
          <w:trHeight w:val="495"/>
        </w:trPr>
        <w:tc>
          <w:tcPr>
            <w:tcW w:w="207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C5C61D8" w14:textId="77777777" w:rsidR="00A91553" w:rsidRDefault="00000000">
            <w:pPr>
              <w:ind w:left="100"/>
              <w:rPr>
                <w:sz w:val="17"/>
                <w:szCs w:val="17"/>
              </w:rPr>
            </w:pPr>
            <w:r>
              <w:rPr>
                <w:sz w:val="17"/>
                <w:szCs w:val="17"/>
              </w:rPr>
              <w:t>Revenue per Employee</w:t>
            </w:r>
          </w:p>
        </w:tc>
        <w:tc>
          <w:tcPr>
            <w:tcW w:w="468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F224222" w14:textId="77777777" w:rsidR="00A91553" w:rsidRDefault="00000000">
            <w:pPr>
              <w:ind w:left="100"/>
              <w:rPr>
                <w:sz w:val="15"/>
                <w:szCs w:val="15"/>
              </w:rPr>
            </w:pPr>
            <w:r>
              <w:rPr>
                <w:sz w:val="15"/>
                <w:szCs w:val="15"/>
              </w:rPr>
              <w:t>The ratio (gross revenue / # of employees) is a key competitive indicator within an industry. This varies significantly by industry.</w:t>
            </w:r>
          </w:p>
        </w:tc>
      </w:tr>
      <w:tr w:rsidR="00A91553" w14:paraId="22EA442C" w14:textId="77777777">
        <w:trPr>
          <w:trHeight w:val="480"/>
        </w:trPr>
        <w:tc>
          <w:tcPr>
            <w:tcW w:w="207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3927794" w14:textId="77777777" w:rsidR="00A91553" w:rsidRDefault="00000000">
            <w:pPr>
              <w:ind w:left="100"/>
              <w:rPr>
                <w:sz w:val="17"/>
                <w:szCs w:val="17"/>
              </w:rPr>
            </w:pPr>
            <w:r>
              <w:rPr>
                <w:sz w:val="17"/>
                <w:szCs w:val="17"/>
              </w:rPr>
              <w:t>Product Cost Ratio</w:t>
            </w:r>
          </w:p>
        </w:tc>
        <w:tc>
          <w:tcPr>
            <w:tcW w:w="468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50243A7" w14:textId="77777777" w:rsidR="00A91553" w:rsidRDefault="00000000">
            <w:pPr>
              <w:ind w:left="100"/>
              <w:rPr>
                <w:sz w:val="15"/>
                <w:szCs w:val="15"/>
              </w:rPr>
            </w:pPr>
            <w:r>
              <w:rPr>
                <w:sz w:val="15"/>
                <w:szCs w:val="15"/>
              </w:rPr>
              <w:t>Total expenses and costs for the product(s)/system(s) being measured, including operational costs compared to revenue.</w:t>
            </w:r>
          </w:p>
        </w:tc>
      </w:tr>
      <w:tr w:rsidR="00A91553" w14:paraId="05A4D369" w14:textId="77777777">
        <w:trPr>
          <w:trHeight w:val="480"/>
        </w:trPr>
        <w:tc>
          <w:tcPr>
            <w:tcW w:w="207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046120C" w14:textId="77777777" w:rsidR="00A91553" w:rsidRDefault="00000000">
            <w:pPr>
              <w:ind w:left="100"/>
              <w:rPr>
                <w:sz w:val="17"/>
                <w:szCs w:val="17"/>
              </w:rPr>
            </w:pPr>
            <w:r>
              <w:rPr>
                <w:sz w:val="17"/>
                <w:szCs w:val="17"/>
              </w:rPr>
              <w:t>Employee Satisfaction</w:t>
            </w:r>
          </w:p>
        </w:tc>
        <w:tc>
          <w:tcPr>
            <w:tcW w:w="468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B2F0377" w14:textId="77777777" w:rsidR="00A91553" w:rsidRDefault="00000000">
            <w:pPr>
              <w:ind w:left="100"/>
              <w:rPr>
                <w:sz w:val="15"/>
                <w:szCs w:val="15"/>
              </w:rPr>
            </w:pPr>
            <w:r>
              <w:rPr>
                <w:sz w:val="15"/>
                <w:szCs w:val="15"/>
              </w:rPr>
              <w:t>Some form of sentiment analysis to help gauge employee engagement, energy, and enthusiasm.</w:t>
            </w:r>
          </w:p>
        </w:tc>
      </w:tr>
      <w:tr w:rsidR="00A91553" w14:paraId="7F4F57EE" w14:textId="77777777">
        <w:trPr>
          <w:trHeight w:val="480"/>
        </w:trPr>
        <w:tc>
          <w:tcPr>
            <w:tcW w:w="207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F4F1B45" w14:textId="77777777" w:rsidR="00A91553" w:rsidRDefault="00000000">
            <w:pPr>
              <w:ind w:left="100"/>
              <w:rPr>
                <w:sz w:val="17"/>
                <w:szCs w:val="17"/>
              </w:rPr>
            </w:pPr>
            <w:r>
              <w:rPr>
                <w:sz w:val="17"/>
                <w:szCs w:val="17"/>
              </w:rPr>
              <w:t>Customer Satisfaction</w:t>
            </w:r>
          </w:p>
        </w:tc>
        <w:tc>
          <w:tcPr>
            <w:tcW w:w="468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8D5DB6B" w14:textId="77777777" w:rsidR="00A91553" w:rsidRDefault="00000000">
            <w:pPr>
              <w:ind w:left="100"/>
              <w:rPr>
                <w:sz w:val="15"/>
                <w:szCs w:val="15"/>
              </w:rPr>
            </w:pPr>
            <w:r>
              <w:rPr>
                <w:sz w:val="15"/>
                <w:szCs w:val="15"/>
              </w:rPr>
              <w:t>Some form of sentiment analysis to help gauge customer engagement and happiness with the product.</w:t>
            </w:r>
          </w:p>
        </w:tc>
      </w:tr>
      <w:tr w:rsidR="00A91553" w14:paraId="3606DE67" w14:textId="77777777">
        <w:trPr>
          <w:trHeight w:val="963"/>
        </w:trPr>
        <w:tc>
          <w:tcPr>
            <w:tcW w:w="207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1ED5147" w14:textId="77777777" w:rsidR="00A91553" w:rsidRDefault="00000000">
            <w:pPr>
              <w:ind w:left="100"/>
              <w:rPr>
                <w:sz w:val="17"/>
                <w:szCs w:val="17"/>
              </w:rPr>
            </w:pPr>
            <w:r>
              <w:rPr>
                <w:sz w:val="17"/>
                <w:szCs w:val="17"/>
              </w:rPr>
              <w:t>Customer Usage Index</w:t>
            </w:r>
          </w:p>
        </w:tc>
        <w:tc>
          <w:tcPr>
            <w:tcW w:w="468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853E863" w14:textId="77777777" w:rsidR="00A91553" w:rsidRDefault="00000000">
            <w:pPr>
              <w:ind w:left="100"/>
              <w:rPr>
                <w:sz w:val="15"/>
                <w:szCs w:val="15"/>
              </w:rPr>
            </w:pPr>
            <w:r>
              <w:rPr>
                <w:sz w:val="15"/>
                <w:szCs w:val="15"/>
              </w:rPr>
              <w:t>Measurement of usage, by feature, to help infer the degree to which customers find the product useful and whether actual usage meets expectations on how long users should be taking with a feature.</w:t>
            </w:r>
          </w:p>
        </w:tc>
      </w:tr>
    </w:tbl>
    <w:p w14:paraId="408EF759" w14:textId="77777777" w:rsidR="00A91553" w:rsidRDefault="00000000">
      <w:pPr>
        <w:spacing w:after="220"/>
        <w:rPr>
          <w:sz w:val="17"/>
          <w:szCs w:val="17"/>
        </w:rPr>
      </w:pPr>
      <w:r>
        <w:rPr>
          <w:sz w:val="17"/>
          <w:szCs w:val="17"/>
        </w:rPr>
        <w:t xml:space="preserve"> </w:t>
      </w:r>
    </w:p>
    <w:p w14:paraId="47B3FAAE" w14:textId="77777777" w:rsidR="00A91553" w:rsidRPr="005E3FF4" w:rsidRDefault="00000000">
      <w:pPr>
        <w:spacing w:after="220"/>
        <w:rPr>
          <w:b/>
        </w:rPr>
      </w:pPr>
      <w:r w:rsidRPr="005E3FF4">
        <w:rPr>
          <w:b/>
        </w:rPr>
        <w:t>Unrealized Value (UV)</w:t>
      </w:r>
    </w:p>
    <w:tbl>
      <w:tblPr>
        <w:tblStyle w:val="a0"/>
        <w:tblW w:w="6750" w:type="dxa"/>
        <w:tblBorders>
          <w:top w:val="nil"/>
          <w:left w:val="nil"/>
          <w:bottom w:val="nil"/>
          <w:right w:val="nil"/>
          <w:insideH w:val="nil"/>
          <w:insideV w:val="nil"/>
        </w:tblBorders>
        <w:tblLayout w:type="fixed"/>
        <w:tblLook w:val="0600" w:firstRow="0" w:lastRow="0" w:firstColumn="0" w:lastColumn="0" w:noHBand="1" w:noVBand="1"/>
      </w:tblPr>
      <w:tblGrid>
        <w:gridCol w:w="2085"/>
        <w:gridCol w:w="4665"/>
      </w:tblGrid>
      <w:tr w:rsidR="00A91553" w14:paraId="5C640D6E" w14:textId="77777777">
        <w:trPr>
          <w:trHeight w:val="330"/>
        </w:trPr>
        <w:tc>
          <w:tcPr>
            <w:tcW w:w="2085"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5EA4CDE2" w14:textId="77777777" w:rsidR="00A91553" w:rsidRDefault="00000000">
            <w:pPr>
              <w:ind w:left="100"/>
              <w:rPr>
                <w:color w:val="FFFFFF"/>
                <w:sz w:val="15"/>
                <w:szCs w:val="15"/>
              </w:rPr>
            </w:pPr>
            <w:r>
              <w:rPr>
                <w:color w:val="FFFFFF"/>
                <w:sz w:val="15"/>
                <w:szCs w:val="15"/>
              </w:rPr>
              <w:t>KVM</w:t>
            </w:r>
          </w:p>
        </w:tc>
        <w:tc>
          <w:tcPr>
            <w:tcW w:w="4665"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737B4DC9" w14:textId="77777777" w:rsidR="00A91553" w:rsidRDefault="00000000">
            <w:pPr>
              <w:ind w:left="100"/>
              <w:rPr>
                <w:color w:val="FFFFFF"/>
                <w:sz w:val="15"/>
                <w:szCs w:val="15"/>
              </w:rPr>
            </w:pPr>
            <w:r>
              <w:rPr>
                <w:color w:val="FFFFFF"/>
                <w:sz w:val="15"/>
                <w:szCs w:val="15"/>
              </w:rPr>
              <w:t>Measuring:</w:t>
            </w:r>
          </w:p>
        </w:tc>
      </w:tr>
      <w:tr w:rsidR="00A91553" w14:paraId="0D628969" w14:textId="77777777">
        <w:trPr>
          <w:trHeight w:val="675"/>
        </w:trPr>
        <w:tc>
          <w:tcPr>
            <w:tcW w:w="2085"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5642715" w14:textId="77777777" w:rsidR="00A91553" w:rsidRDefault="00000000">
            <w:pPr>
              <w:ind w:left="100"/>
              <w:rPr>
                <w:sz w:val="17"/>
                <w:szCs w:val="17"/>
              </w:rPr>
            </w:pPr>
            <w:r>
              <w:rPr>
                <w:sz w:val="17"/>
                <w:szCs w:val="17"/>
              </w:rPr>
              <w:t>Potential Market Share</w:t>
            </w:r>
          </w:p>
        </w:tc>
        <w:tc>
          <w:tcPr>
            <w:tcW w:w="4665"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E3BF63E" w14:textId="77777777" w:rsidR="00A91553" w:rsidRDefault="00000000">
            <w:pPr>
              <w:ind w:left="100"/>
              <w:rPr>
                <w:sz w:val="15"/>
                <w:szCs w:val="15"/>
              </w:rPr>
            </w:pPr>
            <w:r>
              <w:rPr>
                <w:sz w:val="15"/>
                <w:szCs w:val="15"/>
              </w:rPr>
              <w:t>the potential market share that the product might achieve if it better met customer needs.</w:t>
            </w:r>
          </w:p>
        </w:tc>
      </w:tr>
      <w:tr w:rsidR="00A91553" w14:paraId="01E54C5F" w14:textId="77777777">
        <w:trPr>
          <w:trHeight w:val="525"/>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83E2F61" w14:textId="77777777" w:rsidR="00A91553" w:rsidRDefault="00000000">
            <w:pPr>
              <w:ind w:left="100"/>
              <w:rPr>
                <w:sz w:val="17"/>
                <w:szCs w:val="17"/>
              </w:rPr>
            </w:pPr>
            <w:r>
              <w:rPr>
                <w:sz w:val="17"/>
                <w:szCs w:val="17"/>
              </w:rPr>
              <w:t>Customer or User Satisfaction Gap</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4AC527D" w14:textId="77777777" w:rsidR="00A91553" w:rsidRDefault="00000000">
            <w:pPr>
              <w:ind w:left="100"/>
              <w:rPr>
                <w:sz w:val="15"/>
                <w:szCs w:val="15"/>
              </w:rPr>
            </w:pPr>
            <w:r>
              <w:rPr>
                <w:sz w:val="15"/>
                <w:szCs w:val="15"/>
              </w:rPr>
              <w:t>The difference between a customer or user’s desired experience and their current experience.</w:t>
            </w:r>
          </w:p>
        </w:tc>
      </w:tr>
      <w:tr w:rsidR="00A91553" w14:paraId="54B33BC1" w14:textId="77777777">
        <w:trPr>
          <w:trHeight w:val="72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4AF8C83" w14:textId="77777777" w:rsidR="00A91553" w:rsidRDefault="00000000">
            <w:pPr>
              <w:ind w:left="100"/>
              <w:rPr>
                <w:sz w:val="17"/>
                <w:szCs w:val="17"/>
              </w:rPr>
            </w:pPr>
            <w:r>
              <w:rPr>
                <w:sz w:val="17"/>
                <w:szCs w:val="17"/>
              </w:rPr>
              <w:t>Desired Customer Experience or satisfaction</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DAE59AD" w14:textId="77777777" w:rsidR="00A91553" w:rsidRDefault="00000000">
            <w:pPr>
              <w:ind w:left="100"/>
              <w:rPr>
                <w:sz w:val="15"/>
                <w:szCs w:val="15"/>
              </w:rPr>
            </w:pPr>
            <w:r>
              <w:rPr>
                <w:sz w:val="15"/>
                <w:szCs w:val="15"/>
              </w:rPr>
              <w:t>A measure that indicates the experience that the customer would like to have</w:t>
            </w:r>
          </w:p>
        </w:tc>
      </w:tr>
    </w:tbl>
    <w:p w14:paraId="3125416E" w14:textId="77777777" w:rsidR="005E3FF4" w:rsidRDefault="005E3FF4">
      <w:pPr>
        <w:spacing w:after="220"/>
        <w:rPr>
          <w:b/>
          <w:sz w:val="20"/>
          <w:szCs w:val="20"/>
        </w:rPr>
      </w:pPr>
    </w:p>
    <w:p w14:paraId="7B084954" w14:textId="0D8E8F89" w:rsidR="00A91553" w:rsidRPr="005E3FF4" w:rsidRDefault="00000000">
      <w:pPr>
        <w:spacing w:after="220"/>
        <w:rPr>
          <w:b/>
        </w:rPr>
      </w:pPr>
      <w:r w:rsidRPr="005E3FF4">
        <w:rPr>
          <w:b/>
        </w:rPr>
        <w:t>Time-to-Market (T2M)</w:t>
      </w:r>
    </w:p>
    <w:tbl>
      <w:tblPr>
        <w:tblStyle w:val="a1"/>
        <w:tblW w:w="6750" w:type="dxa"/>
        <w:tblBorders>
          <w:top w:val="nil"/>
          <w:left w:val="nil"/>
          <w:bottom w:val="nil"/>
          <w:right w:val="nil"/>
          <w:insideH w:val="nil"/>
          <w:insideV w:val="nil"/>
        </w:tblBorders>
        <w:tblLayout w:type="fixed"/>
        <w:tblLook w:val="0600" w:firstRow="0" w:lastRow="0" w:firstColumn="0" w:lastColumn="0" w:noHBand="1" w:noVBand="1"/>
      </w:tblPr>
      <w:tblGrid>
        <w:gridCol w:w="2085"/>
        <w:gridCol w:w="4665"/>
      </w:tblGrid>
      <w:tr w:rsidR="00A91553" w14:paraId="3CE61B85" w14:textId="77777777">
        <w:trPr>
          <w:trHeight w:val="330"/>
        </w:trPr>
        <w:tc>
          <w:tcPr>
            <w:tcW w:w="2085"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07F22324" w14:textId="77777777" w:rsidR="00A91553" w:rsidRDefault="00000000">
            <w:pPr>
              <w:ind w:left="100"/>
              <w:rPr>
                <w:color w:val="FFFFFF"/>
                <w:sz w:val="15"/>
                <w:szCs w:val="15"/>
              </w:rPr>
            </w:pPr>
            <w:r>
              <w:rPr>
                <w:color w:val="FFFFFF"/>
                <w:sz w:val="15"/>
                <w:szCs w:val="15"/>
              </w:rPr>
              <w:t>KVM</w:t>
            </w:r>
          </w:p>
        </w:tc>
        <w:tc>
          <w:tcPr>
            <w:tcW w:w="4665"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6F3AC6B6" w14:textId="77777777" w:rsidR="00A91553" w:rsidRDefault="00000000">
            <w:pPr>
              <w:ind w:left="100"/>
              <w:rPr>
                <w:color w:val="FFFFFF"/>
                <w:sz w:val="15"/>
                <w:szCs w:val="15"/>
              </w:rPr>
            </w:pPr>
            <w:r>
              <w:rPr>
                <w:color w:val="FFFFFF"/>
                <w:sz w:val="15"/>
                <w:szCs w:val="15"/>
              </w:rPr>
              <w:t>Measuring:</w:t>
            </w:r>
          </w:p>
        </w:tc>
      </w:tr>
      <w:tr w:rsidR="00A91553" w14:paraId="13769E17" w14:textId="77777777">
        <w:trPr>
          <w:trHeight w:val="675"/>
        </w:trPr>
        <w:tc>
          <w:tcPr>
            <w:tcW w:w="2085"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2BA8A44" w14:textId="77777777" w:rsidR="00A91553" w:rsidRDefault="00000000">
            <w:pPr>
              <w:ind w:left="100"/>
              <w:rPr>
                <w:sz w:val="17"/>
                <w:szCs w:val="17"/>
              </w:rPr>
            </w:pPr>
            <w:r>
              <w:rPr>
                <w:sz w:val="17"/>
                <w:szCs w:val="17"/>
              </w:rPr>
              <w:t>Build and Integration Frequency</w:t>
            </w:r>
          </w:p>
        </w:tc>
        <w:tc>
          <w:tcPr>
            <w:tcW w:w="4665"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9574173" w14:textId="77777777" w:rsidR="00A91553" w:rsidRDefault="00000000">
            <w:pPr>
              <w:ind w:left="100"/>
              <w:rPr>
                <w:sz w:val="15"/>
                <w:szCs w:val="15"/>
              </w:rPr>
            </w:pPr>
            <w:r>
              <w:rPr>
                <w:sz w:val="15"/>
                <w:szCs w:val="15"/>
              </w:rPr>
              <w:t xml:space="preserve">The number of integrated and tested builds per </w:t>
            </w:r>
            <w:proofErr w:type="gramStart"/>
            <w:r>
              <w:rPr>
                <w:sz w:val="15"/>
                <w:szCs w:val="15"/>
              </w:rPr>
              <w:t>time period</w:t>
            </w:r>
            <w:proofErr w:type="gramEnd"/>
            <w:r>
              <w:rPr>
                <w:sz w:val="15"/>
                <w:szCs w:val="15"/>
              </w:rPr>
              <w:t>. For a team that is releasing frequently or continuously, this measure is superseded by actual release measures.</w:t>
            </w:r>
          </w:p>
        </w:tc>
      </w:tr>
      <w:tr w:rsidR="00A91553" w14:paraId="0B965122" w14:textId="77777777">
        <w:trPr>
          <w:trHeight w:val="66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89B8C81" w14:textId="77777777" w:rsidR="00A91553" w:rsidRDefault="00000000">
            <w:pPr>
              <w:ind w:left="100"/>
              <w:rPr>
                <w:sz w:val="17"/>
                <w:szCs w:val="17"/>
              </w:rPr>
            </w:pPr>
            <w:r>
              <w:rPr>
                <w:sz w:val="17"/>
                <w:szCs w:val="17"/>
              </w:rPr>
              <w:lastRenderedPageBreak/>
              <w:t>Release Frequency</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26A1AE4" w14:textId="77777777" w:rsidR="00A91553" w:rsidRDefault="00000000">
            <w:pPr>
              <w:ind w:left="100"/>
              <w:rPr>
                <w:sz w:val="15"/>
                <w:szCs w:val="15"/>
              </w:rPr>
            </w:pPr>
            <w:r>
              <w:rPr>
                <w:sz w:val="15"/>
                <w:szCs w:val="15"/>
              </w:rPr>
              <w:t xml:space="preserve">The number of releases per </w:t>
            </w:r>
            <w:proofErr w:type="gramStart"/>
            <w:r>
              <w:rPr>
                <w:sz w:val="15"/>
                <w:szCs w:val="15"/>
              </w:rPr>
              <w:t>time period</w:t>
            </w:r>
            <w:proofErr w:type="gramEnd"/>
            <w:r>
              <w:rPr>
                <w:sz w:val="15"/>
                <w:szCs w:val="15"/>
              </w:rPr>
              <w:t>, e.g. continuously, daily, weekly, monthly, quarterly, etc. This helps reflect the time needed to satisfy the customer with new and competitive products.</w:t>
            </w:r>
          </w:p>
        </w:tc>
      </w:tr>
      <w:tr w:rsidR="00A91553" w14:paraId="7B6B2F5A" w14:textId="77777777">
        <w:trPr>
          <w:trHeight w:val="825"/>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0B33096" w14:textId="77777777" w:rsidR="00A91553" w:rsidRDefault="00000000">
            <w:pPr>
              <w:ind w:left="100"/>
              <w:rPr>
                <w:sz w:val="17"/>
                <w:szCs w:val="17"/>
              </w:rPr>
            </w:pPr>
            <w:r>
              <w:rPr>
                <w:sz w:val="17"/>
                <w:szCs w:val="17"/>
              </w:rPr>
              <w:t>Release Stabilization Period</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55BBCEB" w14:textId="77777777" w:rsidR="00A91553" w:rsidRDefault="00000000">
            <w:pPr>
              <w:ind w:left="100"/>
              <w:rPr>
                <w:sz w:val="15"/>
                <w:szCs w:val="15"/>
              </w:rPr>
            </w:pPr>
            <w:r>
              <w:rPr>
                <w:sz w:val="15"/>
                <w:szCs w:val="15"/>
              </w:rPr>
              <w:t xml:space="preserve">The time spent correcting product problems between the point the developers say it is ready to release and the point where it is </w:t>
            </w:r>
            <w:proofErr w:type="gramStart"/>
            <w:r>
              <w:rPr>
                <w:sz w:val="15"/>
                <w:szCs w:val="15"/>
              </w:rPr>
              <w:t>actually released</w:t>
            </w:r>
            <w:proofErr w:type="gramEnd"/>
            <w:r>
              <w:rPr>
                <w:sz w:val="15"/>
                <w:szCs w:val="15"/>
              </w:rPr>
              <w:t xml:space="preserve"> to customers. This helps represent the impact of poor development practices and underlying design and code base.</w:t>
            </w:r>
          </w:p>
        </w:tc>
      </w:tr>
      <w:tr w:rsidR="00A91553" w14:paraId="192A8191" w14:textId="77777777">
        <w:trPr>
          <w:trHeight w:val="66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A04816F" w14:textId="77777777" w:rsidR="00A91553" w:rsidRDefault="00000000">
            <w:pPr>
              <w:ind w:left="100"/>
              <w:rPr>
                <w:sz w:val="17"/>
                <w:szCs w:val="17"/>
              </w:rPr>
            </w:pPr>
            <w:r>
              <w:rPr>
                <w:sz w:val="17"/>
                <w:szCs w:val="17"/>
              </w:rPr>
              <w:t>Mean Time to Repair</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9E6752F" w14:textId="77777777" w:rsidR="00A91553" w:rsidRDefault="00000000">
            <w:pPr>
              <w:ind w:left="100"/>
              <w:rPr>
                <w:sz w:val="15"/>
                <w:szCs w:val="15"/>
              </w:rPr>
            </w:pPr>
            <w:r>
              <w:rPr>
                <w:sz w:val="15"/>
                <w:szCs w:val="15"/>
              </w:rPr>
              <w:t>The average amount of time it takes from when an error is detected and when it is fixed. This helps reveal the efficiency of an organization to fix an error.</w:t>
            </w:r>
          </w:p>
        </w:tc>
      </w:tr>
      <w:tr w:rsidR="00A91553" w14:paraId="2C7DA3FE" w14:textId="77777777">
        <w:trPr>
          <w:trHeight w:val="66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EB943F6" w14:textId="77777777" w:rsidR="00A91553" w:rsidRDefault="00000000">
            <w:pPr>
              <w:ind w:left="100"/>
              <w:rPr>
                <w:sz w:val="17"/>
                <w:szCs w:val="17"/>
              </w:rPr>
            </w:pPr>
            <w:r>
              <w:rPr>
                <w:sz w:val="17"/>
                <w:szCs w:val="17"/>
              </w:rPr>
              <w:t>Customer Cycle Time</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470F541" w14:textId="77777777" w:rsidR="00A91553" w:rsidRDefault="00000000">
            <w:pPr>
              <w:ind w:left="100"/>
              <w:rPr>
                <w:sz w:val="15"/>
                <w:szCs w:val="15"/>
              </w:rPr>
            </w:pPr>
            <w:r>
              <w:rPr>
                <w:sz w:val="15"/>
                <w:szCs w:val="15"/>
              </w:rPr>
              <w:t xml:space="preserve">The amount of time from when work starts on a release until the point where it is </w:t>
            </w:r>
            <w:proofErr w:type="gramStart"/>
            <w:r>
              <w:rPr>
                <w:sz w:val="15"/>
                <w:szCs w:val="15"/>
              </w:rPr>
              <w:t>actually released</w:t>
            </w:r>
            <w:proofErr w:type="gramEnd"/>
            <w:r>
              <w:rPr>
                <w:sz w:val="15"/>
                <w:szCs w:val="15"/>
              </w:rPr>
              <w:t>. This measure helps reflect an organization’s ability to reach its customer.</w:t>
            </w:r>
          </w:p>
        </w:tc>
      </w:tr>
      <w:tr w:rsidR="00A91553" w14:paraId="55867EFB" w14:textId="77777777">
        <w:trPr>
          <w:trHeight w:val="825"/>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B0917F8" w14:textId="77777777" w:rsidR="00A91553" w:rsidRDefault="00000000">
            <w:pPr>
              <w:ind w:left="100"/>
              <w:rPr>
                <w:sz w:val="17"/>
                <w:szCs w:val="17"/>
              </w:rPr>
            </w:pPr>
            <w:r>
              <w:rPr>
                <w:sz w:val="17"/>
                <w:szCs w:val="17"/>
              </w:rPr>
              <w:t xml:space="preserve">Lead Time </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6E976FC" w14:textId="77777777" w:rsidR="00A91553" w:rsidRDefault="00000000">
            <w:pPr>
              <w:ind w:left="100"/>
              <w:rPr>
                <w:sz w:val="15"/>
                <w:szCs w:val="15"/>
              </w:rPr>
            </w:pPr>
            <w:r>
              <w:rPr>
                <w:sz w:val="15"/>
                <w:szCs w:val="15"/>
              </w:rPr>
              <w:t>The amount of time from when an idea is proposed, or a hypothesis is formed until a customer can benefit from that idea. This measure may vary based on customer and product. It is a contributing factor for customer satisfaction.</w:t>
            </w:r>
          </w:p>
        </w:tc>
      </w:tr>
      <w:tr w:rsidR="00A91553" w14:paraId="071B0645" w14:textId="77777777">
        <w:trPr>
          <w:trHeight w:val="84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3C2506E" w14:textId="77777777" w:rsidR="00A91553" w:rsidRDefault="00000000">
            <w:pPr>
              <w:ind w:left="100"/>
              <w:rPr>
                <w:sz w:val="17"/>
                <w:szCs w:val="17"/>
              </w:rPr>
            </w:pPr>
            <w:r>
              <w:rPr>
                <w:sz w:val="17"/>
                <w:szCs w:val="17"/>
              </w:rPr>
              <w:t>Lead Time for Changes</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0945F5A" w14:textId="77777777" w:rsidR="00A91553" w:rsidRDefault="00000000">
            <w:pPr>
              <w:spacing w:after="180"/>
              <w:rPr>
                <w:color w:val="34393E"/>
                <w:sz w:val="15"/>
                <w:szCs w:val="15"/>
              </w:rPr>
            </w:pPr>
            <w:r>
              <w:rPr>
                <w:color w:val="34393E"/>
                <w:sz w:val="15"/>
                <w:szCs w:val="15"/>
              </w:rPr>
              <w:t>The amount of time to go from code-committed to code successfully running in production. For more information, see the</w:t>
            </w:r>
            <w:hyperlink r:id="rId15">
              <w:r>
                <w:rPr>
                  <w:color w:val="34393E"/>
                  <w:sz w:val="15"/>
                  <w:szCs w:val="15"/>
                </w:rPr>
                <w:t xml:space="preserve"> </w:t>
              </w:r>
            </w:hyperlink>
            <w:hyperlink r:id="rId16">
              <w:r>
                <w:rPr>
                  <w:color w:val="103CC0"/>
                  <w:sz w:val="15"/>
                  <w:szCs w:val="15"/>
                  <w:u w:val="single"/>
                </w:rPr>
                <w:t>DORA 2019 report</w:t>
              </w:r>
            </w:hyperlink>
            <w:r>
              <w:rPr>
                <w:color w:val="34393E"/>
                <w:sz w:val="15"/>
                <w:szCs w:val="15"/>
              </w:rPr>
              <w:t>.</w:t>
            </w:r>
          </w:p>
        </w:tc>
      </w:tr>
      <w:tr w:rsidR="00A91553" w14:paraId="5C888C53" w14:textId="77777777">
        <w:trPr>
          <w:trHeight w:val="84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2CC413C" w14:textId="77777777" w:rsidR="00A91553" w:rsidRDefault="00000000">
            <w:pPr>
              <w:ind w:left="100"/>
              <w:rPr>
                <w:sz w:val="17"/>
                <w:szCs w:val="17"/>
              </w:rPr>
            </w:pPr>
            <w:r>
              <w:rPr>
                <w:sz w:val="17"/>
                <w:szCs w:val="17"/>
              </w:rPr>
              <w:t>Deployment Frequency</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0EF6F2A" w14:textId="77777777" w:rsidR="00A91553" w:rsidRDefault="00000000">
            <w:pPr>
              <w:spacing w:after="180"/>
              <w:rPr>
                <w:color w:val="34393E"/>
                <w:sz w:val="15"/>
                <w:szCs w:val="15"/>
              </w:rPr>
            </w:pPr>
            <w:r>
              <w:rPr>
                <w:color w:val="34393E"/>
                <w:sz w:val="15"/>
                <w:szCs w:val="15"/>
              </w:rPr>
              <w:t>The number of times that the organization deployed (released) a new version of the product to customers/users. For more information, see the</w:t>
            </w:r>
            <w:hyperlink r:id="rId17">
              <w:r>
                <w:rPr>
                  <w:color w:val="34393E"/>
                  <w:sz w:val="15"/>
                  <w:szCs w:val="15"/>
                </w:rPr>
                <w:t xml:space="preserve"> </w:t>
              </w:r>
            </w:hyperlink>
            <w:hyperlink r:id="rId18">
              <w:r>
                <w:rPr>
                  <w:color w:val="103CC0"/>
                  <w:sz w:val="15"/>
                  <w:szCs w:val="15"/>
                  <w:u w:val="single"/>
                </w:rPr>
                <w:t>DORA 2019 report</w:t>
              </w:r>
            </w:hyperlink>
            <w:r>
              <w:rPr>
                <w:color w:val="34393E"/>
                <w:sz w:val="15"/>
                <w:szCs w:val="15"/>
              </w:rPr>
              <w:t>.</w:t>
            </w:r>
          </w:p>
        </w:tc>
      </w:tr>
      <w:tr w:rsidR="00A91553" w14:paraId="65C2B2E9" w14:textId="77777777">
        <w:trPr>
          <w:trHeight w:val="84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D7C45D5" w14:textId="77777777" w:rsidR="00A91553" w:rsidRDefault="00000000">
            <w:pPr>
              <w:ind w:left="100"/>
              <w:rPr>
                <w:sz w:val="17"/>
                <w:szCs w:val="17"/>
              </w:rPr>
            </w:pPr>
            <w:r>
              <w:rPr>
                <w:sz w:val="17"/>
                <w:szCs w:val="17"/>
              </w:rPr>
              <w:t>Time to Restore Service</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38FFBFC" w14:textId="77777777" w:rsidR="00A91553" w:rsidRDefault="00000000">
            <w:pPr>
              <w:spacing w:after="180"/>
              <w:rPr>
                <w:color w:val="34393E"/>
                <w:sz w:val="15"/>
                <w:szCs w:val="15"/>
              </w:rPr>
            </w:pPr>
            <w:r>
              <w:rPr>
                <w:color w:val="34393E"/>
                <w:sz w:val="15"/>
                <w:szCs w:val="15"/>
              </w:rPr>
              <w:t>The amount of time between the start of a service outage and the restoration of full availability of the service. For more information, see the</w:t>
            </w:r>
            <w:hyperlink r:id="rId19">
              <w:r>
                <w:rPr>
                  <w:color w:val="34393E"/>
                  <w:sz w:val="15"/>
                  <w:szCs w:val="15"/>
                </w:rPr>
                <w:t xml:space="preserve"> </w:t>
              </w:r>
            </w:hyperlink>
            <w:hyperlink r:id="rId20">
              <w:r>
                <w:rPr>
                  <w:color w:val="103CC0"/>
                  <w:sz w:val="15"/>
                  <w:szCs w:val="15"/>
                  <w:u w:val="single"/>
                </w:rPr>
                <w:t>DORA 2019 report</w:t>
              </w:r>
            </w:hyperlink>
            <w:r>
              <w:rPr>
                <w:color w:val="34393E"/>
                <w:sz w:val="15"/>
                <w:szCs w:val="15"/>
              </w:rPr>
              <w:t>.</w:t>
            </w:r>
          </w:p>
        </w:tc>
      </w:tr>
      <w:tr w:rsidR="00A91553" w14:paraId="3AE70CAB" w14:textId="77777777">
        <w:trPr>
          <w:trHeight w:val="48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9566F9B" w14:textId="77777777" w:rsidR="00A91553" w:rsidRDefault="00000000">
            <w:pPr>
              <w:ind w:left="100"/>
              <w:rPr>
                <w:sz w:val="17"/>
                <w:szCs w:val="17"/>
              </w:rPr>
            </w:pPr>
            <w:r>
              <w:rPr>
                <w:sz w:val="17"/>
                <w:szCs w:val="17"/>
              </w:rPr>
              <w:t>Time-to-Learn</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4047AC8" w14:textId="77777777" w:rsidR="00A91553" w:rsidRDefault="00000000">
            <w:pPr>
              <w:ind w:left="100"/>
              <w:rPr>
                <w:sz w:val="15"/>
                <w:szCs w:val="15"/>
              </w:rPr>
            </w:pPr>
            <w:r>
              <w:rPr>
                <w:sz w:val="15"/>
                <w:szCs w:val="15"/>
              </w:rPr>
              <w:t>The total time needed to sketch an idea or improvement, build it, deliver it to users, and learn from their usage.</w:t>
            </w:r>
          </w:p>
        </w:tc>
      </w:tr>
      <w:tr w:rsidR="00A91553" w14:paraId="0115899B" w14:textId="77777777">
        <w:trPr>
          <w:trHeight w:val="66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CDDD6EF" w14:textId="77777777" w:rsidR="00A91553" w:rsidRDefault="00000000">
            <w:pPr>
              <w:ind w:left="100"/>
              <w:rPr>
                <w:sz w:val="17"/>
                <w:szCs w:val="17"/>
              </w:rPr>
            </w:pPr>
            <w:r>
              <w:rPr>
                <w:sz w:val="17"/>
                <w:szCs w:val="17"/>
              </w:rPr>
              <w:t>Time to remove Impediment</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58B6E5B" w14:textId="77777777" w:rsidR="00A91553" w:rsidRDefault="00000000">
            <w:pPr>
              <w:ind w:left="100"/>
              <w:rPr>
                <w:sz w:val="15"/>
                <w:szCs w:val="15"/>
              </w:rPr>
            </w:pPr>
            <w:r>
              <w:rPr>
                <w:sz w:val="15"/>
                <w:szCs w:val="15"/>
              </w:rPr>
              <w:t>The average amount of time from when an impediment is raised until when it is resolved. It is a contributing factor to lead time and employee satisfaction.</w:t>
            </w:r>
          </w:p>
        </w:tc>
      </w:tr>
      <w:tr w:rsidR="00A91553" w14:paraId="00412309" w14:textId="77777777">
        <w:trPr>
          <w:trHeight w:val="1350"/>
        </w:trPr>
        <w:tc>
          <w:tcPr>
            <w:tcW w:w="208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24CAC0B" w14:textId="77777777" w:rsidR="00A91553" w:rsidRDefault="00000000">
            <w:pPr>
              <w:ind w:left="100"/>
              <w:rPr>
                <w:sz w:val="17"/>
                <w:szCs w:val="17"/>
              </w:rPr>
            </w:pPr>
            <w:r>
              <w:rPr>
                <w:sz w:val="17"/>
                <w:szCs w:val="17"/>
              </w:rPr>
              <w:t>Time to Pivot</w:t>
            </w:r>
          </w:p>
        </w:tc>
        <w:tc>
          <w:tcPr>
            <w:tcW w:w="4665"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270E655" w14:textId="77777777" w:rsidR="00A91553" w:rsidRDefault="00000000">
            <w:pPr>
              <w:ind w:left="100"/>
              <w:rPr>
                <w:sz w:val="15"/>
                <w:szCs w:val="15"/>
              </w:rPr>
            </w:pPr>
            <w:r>
              <w:rPr>
                <w:sz w:val="15"/>
                <w:szCs w:val="15"/>
              </w:rPr>
              <w:t>A measure of true business agility that presents the elapsed time between when an organization receives feedback or new information and when it responds to that feedback; for example, the time between when it finds out that a competitor has delivered a new market-winning feature to when the organization responds with matching or exceeding new capabilities that measurably improve customer experience.</w:t>
            </w:r>
          </w:p>
        </w:tc>
      </w:tr>
    </w:tbl>
    <w:p w14:paraId="5DE9CB76" w14:textId="77777777" w:rsidR="00A91553" w:rsidRDefault="00000000">
      <w:pPr>
        <w:spacing w:after="220"/>
        <w:rPr>
          <w:b/>
          <w:sz w:val="20"/>
          <w:szCs w:val="20"/>
        </w:rPr>
      </w:pPr>
      <w:r>
        <w:rPr>
          <w:b/>
          <w:sz w:val="20"/>
          <w:szCs w:val="20"/>
        </w:rPr>
        <w:t xml:space="preserve"> </w:t>
      </w:r>
    </w:p>
    <w:p w14:paraId="6D2F5ABD" w14:textId="77777777" w:rsidR="00A91553" w:rsidRPr="005E3FF4" w:rsidRDefault="00000000">
      <w:pPr>
        <w:spacing w:after="220"/>
        <w:rPr>
          <w:b/>
        </w:rPr>
      </w:pPr>
      <w:r w:rsidRPr="005E3FF4">
        <w:rPr>
          <w:b/>
        </w:rPr>
        <w:t>Ability to Innovate (A2I)</w:t>
      </w:r>
    </w:p>
    <w:tbl>
      <w:tblPr>
        <w:tblStyle w:val="a2"/>
        <w:tblW w:w="6780" w:type="dxa"/>
        <w:tblBorders>
          <w:top w:val="nil"/>
          <w:left w:val="nil"/>
          <w:bottom w:val="nil"/>
          <w:right w:val="nil"/>
          <w:insideH w:val="nil"/>
          <w:insideV w:val="nil"/>
        </w:tblBorders>
        <w:tblLayout w:type="fixed"/>
        <w:tblLook w:val="0600" w:firstRow="0" w:lastRow="0" w:firstColumn="0" w:lastColumn="0" w:noHBand="1" w:noVBand="1"/>
      </w:tblPr>
      <w:tblGrid>
        <w:gridCol w:w="1560"/>
        <w:gridCol w:w="5220"/>
      </w:tblGrid>
      <w:tr w:rsidR="00A91553" w14:paraId="78D508A4" w14:textId="77777777">
        <w:trPr>
          <w:trHeight w:val="330"/>
        </w:trPr>
        <w:tc>
          <w:tcPr>
            <w:tcW w:w="1560"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4CB8E9F6" w14:textId="77777777" w:rsidR="00A91553" w:rsidRDefault="00000000">
            <w:pPr>
              <w:ind w:left="100"/>
              <w:rPr>
                <w:b/>
                <w:color w:val="FFFFFF"/>
                <w:sz w:val="15"/>
                <w:szCs w:val="15"/>
              </w:rPr>
            </w:pPr>
            <w:r>
              <w:rPr>
                <w:b/>
                <w:color w:val="FFFFFF"/>
                <w:sz w:val="15"/>
                <w:szCs w:val="15"/>
              </w:rPr>
              <w:t>KVM</w:t>
            </w:r>
          </w:p>
        </w:tc>
        <w:tc>
          <w:tcPr>
            <w:tcW w:w="5220" w:type="dxa"/>
            <w:tcBorders>
              <w:top w:val="single" w:sz="6" w:space="0" w:color="FFFFFF"/>
              <w:left w:val="single" w:sz="6" w:space="0" w:color="FFFFFF"/>
              <w:bottom w:val="single" w:sz="18" w:space="0" w:color="FFFFFF"/>
              <w:right w:val="single" w:sz="6" w:space="0" w:color="FFFFFF"/>
            </w:tcBorders>
            <w:shd w:val="clear" w:color="auto" w:fill="5F9EBE"/>
            <w:tcMar>
              <w:top w:w="60" w:type="dxa"/>
              <w:left w:w="60" w:type="dxa"/>
              <w:bottom w:w="60" w:type="dxa"/>
              <w:right w:w="60" w:type="dxa"/>
            </w:tcMar>
          </w:tcPr>
          <w:p w14:paraId="6CF47262" w14:textId="77777777" w:rsidR="00A91553" w:rsidRDefault="00000000">
            <w:pPr>
              <w:ind w:left="100"/>
              <w:rPr>
                <w:b/>
                <w:color w:val="FFFFFF"/>
                <w:sz w:val="15"/>
                <w:szCs w:val="15"/>
              </w:rPr>
            </w:pPr>
            <w:r>
              <w:rPr>
                <w:b/>
                <w:color w:val="FFFFFF"/>
                <w:sz w:val="15"/>
                <w:szCs w:val="15"/>
              </w:rPr>
              <w:t>Measuring:</w:t>
            </w:r>
          </w:p>
        </w:tc>
      </w:tr>
      <w:tr w:rsidR="00A91553" w14:paraId="2808CE10" w14:textId="77777777">
        <w:trPr>
          <w:trHeight w:val="780"/>
        </w:trPr>
        <w:tc>
          <w:tcPr>
            <w:tcW w:w="156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FB98320" w14:textId="77777777" w:rsidR="00A91553" w:rsidRDefault="00000000">
            <w:pPr>
              <w:ind w:left="60"/>
              <w:rPr>
                <w:sz w:val="17"/>
                <w:szCs w:val="17"/>
              </w:rPr>
            </w:pPr>
            <w:r>
              <w:rPr>
                <w:sz w:val="17"/>
                <w:szCs w:val="17"/>
              </w:rPr>
              <w:t>Employee Engagement</w:t>
            </w:r>
          </w:p>
        </w:tc>
        <w:tc>
          <w:tcPr>
            <w:tcW w:w="522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AE82CBB" w14:textId="77777777" w:rsidR="00A91553" w:rsidRDefault="00000000">
            <w:pPr>
              <w:ind w:left="60"/>
              <w:rPr>
                <w:sz w:val="15"/>
                <w:szCs w:val="15"/>
              </w:rPr>
            </w:pPr>
            <w:r>
              <w:rPr>
                <w:sz w:val="15"/>
                <w:szCs w:val="15"/>
              </w:rPr>
              <w:t>A measure of the degree to which employees are aligned with and bought-in to the organization’s goals.</w:t>
            </w:r>
          </w:p>
        </w:tc>
      </w:tr>
      <w:tr w:rsidR="00A91553" w14:paraId="1AB0E15D" w14:textId="77777777">
        <w:trPr>
          <w:trHeight w:val="780"/>
        </w:trPr>
        <w:tc>
          <w:tcPr>
            <w:tcW w:w="156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74D60444" w14:textId="77777777" w:rsidR="00A91553" w:rsidRDefault="00000000">
            <w:pPr>
              <w:ind w:left="60"/>
              <w:rPr>
                <w:sz w:val="17"/>
                <w:szCs w:val="17"/>
              </w:rPr>
            </w:pPr>
            <w:r>
              <w:rPr>
                <w:sz w:val="17"/>
                <w:szCs w:val="17"/>
              </w:rPr>
              <w:lastRenderedPageBreak/>
              <w:t>Innovation Rate</w:t>
            </w:r>
          </w:p>
        </w:tc>
        <w:tc>
          <w:tcPr>
            <w:tcW w:w="5220" w:type="dxa"/>
            <w:tcBorders>
              <w:top w:val="single" w:sz="18"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16E9758" w14:textId="77777777" w:rsidR="00A91553" w:rsidRDefault="00000000">
            <w:pPr>
              <w:ind w:left="60"/>
              <w:rPr>
                <w:sz w:val="15"/>
                <w:szCs w:val="15"/>
              </w:rPr>
            </w:pPr>
            <w:r>
              <w:rPr>
                <w:sz w:val="15"/>
                <w:szCs w:val="15"/>
              </w:rPr>
              <w:t>The percentage of effort or cost spent on new product capabilities, divided by total product effort or cost. This provides insight into the capacity of the organization to deliver new product capabilities.</w:t>
            </w:r>
          </w:p>
        </w:tc>
      </w:tr>
      <w:tr w:rsidR="00A91553" w14:paraId="414A0251" w14:textId="77777777">
        <w:trPr>
          <w:trHeight w:val="99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EC270D3" w14:textId="77777777" w:rsidR="00A91553" w:rsidRDefault="00000000">
            <w:pPr>
              <w:ind w:left="60"/>
              <w:rPr>
                <w:sz w:val="17"/>
                <w:szCs w:val="17"/>
              </w:rPr>
            </w:pPr>
            <w:r>
              <w:rPr>
                <w:sz w:val="17"/>
                <w:szCs w:val="17"/>
              </w:rPr>
              <w:t>Defect Trends</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46EFF6E" w14:textId="77777777" w:rsidR="00A91553" w:rsidRDefault="00000000">
            <w:pPr>
              <w:ind w:left="60"/>
              <w:rPr>
                <w:sz w:val="15"/>
                <w:szCs w:val="15"/>
              </w:rPr>
            </w:pPr>
            <w:r>
              <w:rPr>
                <w:sz w:val="15"/>
                <w:szCs w:val="15"/>
              </w:rPr>
              <w:t>Measurement of change in defects since last measurement. A defect is anything that reduces the value of the product to a customer, user, or to the organization itself. Defects are generally things that don’t work as intended.</w:t>
            </w:r>
          </w:p>
        </w:tc>
      </w:tr>
      <w:tr w:rsidR="00A91553" w14:paraId="36D2095B" w14:textId="77777777">
        <w:trPr>
          <w:trHeight w:val="60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F47B1B8" w14:textId="77777777" w:rsidR="00A91553" w:rsidRDefault="00000000">
            <w:pPr>
              <w:ind w:left="60"/>
              <w:rPr>
                <w:sz w:val="17"/>
                <w:szCs w:val="17"/>
              </w:rPr>
            </w:pPr>
            <w:r>
              <w:rPr>
                <w:sz w:val="17"/>
                <w:szCs w:val="17"/>
              </w:rPr>
              <w:t>On-Product Index</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C79C6F3" w14:textId="77777777" w:rsidR="00A91553" w:rsidRDefault="00000000">
            <w:pPr>
              <w:ind w:left="60"/>
              <w:rPr>
                <w:sz w:val="15"/>
                <w:szCs w:val="15"/>
              </w:rPr>
            </w:pPr>
            <w:r>
              <w:rPr>
                <w:sz w:val="15"/>
                <w:szCs w:val="15"/>
              </w:rPr>
              <w:t>The percentage of time teams spend working on product and value.</w:t>
            </w:r>
          </w:p>
        </w:tc>
      </w:tr>
      <w:tr w:rsidR="00A91553" w14:paraId="53FF37E1" w14:textId="77777777">
        <w:trPr>
          <w:trHeight w:val="78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2BDC0ED" w14:textId="77777777" w:rsidR="00A91553" w:rsidRDefault="00000000">
            <w:pPr>
              <w:ind w:left="60"/>
              <w:rPr>
                <w:sz w:val="17"/>
                <w:szCs w:val="17"/>
              </w:rPr>
            </w:pPr>
            <w:r>
              <w:rPr>
                <w:sz w:val="17"/>
                <w:szCs w:val="17"/>
              </w:rPr>
              <w:t>Installed Version Index</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49F07E9" w14:textId="77777777" w:rsidR="00A91553" w:rsidRDefault="00000000">
            <w:pPr>
              <w:ind w:left="60"/>
              <w:rPr>
                <w:sz w:val="15"/>
                <w:szCs w:val="15"/>
              </w:rPr>
            </w:pPr>
            <w:r>
              <w:rPr>
                <w:sz w:val="15"/>
                <w:szCs w:val="15"/>
              </w:rPr>
              <w:t>The number of versions of a product that are currently being supported. This reflects the effort the organization spends supporting and maintaining older versions of software.</w:t>
            </w:r>
          </w:p>
        </w:tc>
      </w:tr>
      <w:tr w:rsidR="00A91553" w14:paraId="348FF927" w14:textId="77777777">
        <w:trPr>
          <w:trHeight w:val="84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10FA276" w14:textId="77777777" w:rsidR="00A91553" w:rsidRDefault="00000000">
            <w:pPr>
              <w:ind w:left="60"/>
              <w:rPr>
                <w:sz w:val="17"/>
                <w:szCs w:val="17"/>
              </w:rPr>
            </w:pPr>
            <w:r>
              <w:rPr>
                <w:sz w:val="17"/>
                <w:szCs w:val="17"/>
              </w:rPr>
              <w:t>Technical Debt</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FD835AC" w14:textId="77777777" w:rsidR="00A91553" w:rsidRDefault="00000000">
            <w:pPr>
              <w:ind w:left="60"/>
              <w:rPr>
                <w:sz w:val="15"/>
                <w:szCs w:val="15"/>
              </w:rPr>
            </w:pPr>
            <w:r>
              <w:rPr>
                <w:sz w:val="15"/>
                <w:szCs w:val="15"/>
              </w:rPr>
              <w:t>A concept in programming that reflects the extra development and testing work that arises when “quick and dirty” solutions result in later remediation. It creates an undesirable impact on the delivery of value and an avoidable increase in waste and risk.</w:t>
            </w:r>
          </w:p>
        </w:tc>
      </w:tr>
      <w:tr w:rsidR="00A91553" w14:paraId="614F63F9" w14:textId="77777777">
        <w:trPr>
          <w:trHeight w:val="825"/>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1256212A" w14:textId="77777777" w:rsidR="00A91553" w:rsidRDefault="00000000">
            <w:pPr>
              <w:ind w:left="60"/>
              <w:rPr>
                <w:sz w:val="17"/>
                <w:szCs w:val="17"/>
              </w:rPr>
            </w:pPr>
            <w:r>
              <w:rPr>
                <w:sz w:val="17"/>
                <w:szCs w:val="17"/>
              </w:rPr>
              <w:t>Production Incident Count</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0D43137D" w14:textId="77777777" w:rsidR="00A91553" w:rsidRDefault="00000000">
            <w:pPr>
              <w:ind w:left="60"/>
              <w:rPr>
                <w:sz w:val="15"/>
                <w:szCs w:val="15"/>
              </w:rPr>
            </w:pPr>
            <w:r>
              <w:rPr>
                <w:sz w:val="15"/>
                <w:szCs w:val="15"/>
              </w:rPr>
              <w:t xml:space="preserve">The number of times </w:t>
            </w:r>
            <w:proofErr w:type="gramStart"/>
            <w:r>
              <w:rPr>
                <w:sz w:val="15"/>
                <w:szCs w:val="15"/>
              </w:rPr>
              <w:t>in a given</w:t>
            </w:r>
            <w:proofErr w:type="gramEnd"/>
            <w:r>
              <w:rPr>
                <w:sz w:val="15"/>
                <w:szCs w:val="15"/>
              </w:rPr>
              <w:t xml:space="preserve"> period that the Development Team was interrupted to fix a problem in an installed product. The number and frequency of Production Incidents can help indicate the stability of the product.</w:t>
            </w:r>
          </w:p>
        </w:tc>
      </w:tr>
      <w:tr w:rsidR="00A91553" w14:paraId="11F72728" w14:textId="77777777">
        <w:trPr>
          <w:trHeight w:val="93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DBB1ED3" w14:textId="77777777" w:rsidR="00A91553" w:rsidRDefault="00000000">
            <w:pPr>
              <w:ind w:left="60"/>
              <w:rPr>
                <w:sz w:val="17"/>
                <w:szCs w:val="17"/>
              </w:rPr>
            </w:pPr>
            <w:r>
              <w:rPr>
                <w:sz w:val="17"/>
                <w:szCs w:val="17"/>
              </w:rPr>
              <w:t>Active Product (Code) Branches</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E9A568C" w14:textId="77777777" w:rsidR="00A91553" w:rsidRDefault="00000000">
            <w:pPr>
              <w:ind w:left="60"/>
              <w:rPr>
                <w:sz w:val="15"/>
                <w:szCs w:val="15"/>
              </w:rPr>
            </w:pPr>
            <w:r>
              <w:rPr>
                <w:sz w:val="15"/>
                <w:szCs w:val="15"/>
              </w:rPr>
              <w:t xml:space="preserve">The number of different versions (or variants) of a product or service. Provides insight into the potential impact of change and the resulting complexity of work. </w:t>
            </w:r>
          </w:p>
        </w:tc>
      </w:tr>
      <w:tr w:rsidR="00A91553" w14:paraId="0886F875" w14:textId="77777777">
        <w:trPr>
          <w:trHeight w:val="129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1A5EB64" w14:textId="77777777" w:rsidR="00A91553" w:rsidRDefault="00000000">
            <w:pPr>
              <w:spacing w:after="160"/>
              <w:ind w:left="60"/>
              <w:rPr>
                <w:sz w:val="17"/>
                <w:szCs w:val="17"/>
              </w:rPr>
            </w:pPr>
            <w:r>
              <w:rPr>
                <w:sz w:val="17"/>
                <w:szCs w:val="17"/>
              </w:rPr>
              <w:t>Time Spent Merging Code Between Branches</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65444E91" w14:textId="77777777" w:rsidR="00A91553" w:rsidRDefault="00000000">
            <w:pPr>
              <w:ind w:left="60"/>
              <w:rPr>
                <w:sz w:val="15"/>
                <w:szCs w:val="15"/>
              </w:rPr>
            </w:pPr>
            <w:r>
              <w:rPr>
                <w:sz w:val="15"/>
                <w:szCs w:val="15"/>
              </w:rPr>
              <w:t xml:space="preserve">The amount of time spent applying changes across different versions of a product or service. Provides insight into the potential impact of change and the resulting complexity of work. </w:t>
            </w:r>
          </w:p>
        </w:tc>
      </w:tr>
      <w:tr w:rsidR="00A91553" w14:paraId="484535E5" w14:textId="77777777">
        <w:trPr>
          <w:trHeight w:val="825"/>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3CF64392" w14:textId="77777777" w:rsidR="00A91553" w:rsidRDefault="00000000">
            <w:pPr>
              <w:ind w:left="60"/>
              <w:rPr>
                <w:sz w:val="17"/>
                <w:szCs w:val="17"/>
              </w:rPr>
            </w:pPr>
            <w:r>
              <w:rPr>
                <w:sz w:val="17"/>
                <w:szCs w:val="17"/>
              </w:rPr>
              <w:t>Time Spent Context-Switching</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4E8B122D" w14:textId="77777777" w:rsidR="00A91553" w:rsidRDefault="00000000">
            <w:pPr>
              <w:ind w:left="60"/>
              <w:rPr>
                <w:sz w:val="15"/>
                <w:szCs w:val="15"/>
              </w:rPr>
            </w:pPr>
            <w:r>
              <w:rPr>
                <w:sz w:val="15"/>
                <w:szCs w:val="15"/>
              </w:rPr>
              <w:t>Examples include time lost to interruptions caused by meetings or calls, time spent switching between tasks, and time lost when team members are interrupted to help people outside the team can give simple insight into the magnitude of the problem.</w:t>
            </w:r>
          </w:p>
        </w:tc>
      </w:tr>
      <w:tr w:rsidR="00A91553" w14:paraId="1332CBDE" w14:textId="77777777">
        <w:trPr>
          <w:trHeight w:val="780"/>
        </w:trPr>
        <w:tc>
          <w:tcPr>
            <w:tcW w:w="156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22315B19" w14:textId="77777777" w:rsidR="00A91553" w:rsidRDefault="00000000">
            <w:pPr>
              <w:ind w:left="60"/>
              <w:rPr>
                <w:sz w:val="17"/>
                <w:szCs w:val="17"/>
              </w:rPr>
            </w:pPr>
            <w:r>
              <w:rPr>
                <w:sz w:val="17"/>
                <w:szCs w:val="17"/>
              </w:rPr>
              <w:t>Change Failure Rate</w:t>
            </w:r>
          </w:p>
        </w:tc>
        <w:tc>
          <w:tcPr>
            <w:tcW w:w="5220" w:type="dxa"/>
            <w:tcBorders>
              <w:top w:val="single" w:sz="6" w:space="0" w:color="FFFFFF"/>
              <w:left w:val="single" w:sz="6" w:space="0" w:color="FFFFFF"/>
              <w:bottom w:val="single" w:sz="6" w:space="0" w:color="FFFFFF"/>
              <w:right w:val="single" w:sz="6" w:space="0" w:color="FFFFFF"/>
            </w:tcBorders>
            <w:shd w:val="clear" w:color="auto" w:fill="D3DEED"/>
            <w:tcMar>
              <w:top w:w="60" w:type="dxa"/>
              <w:left w:w="60" w:type="dxa"/>
              <w:bottom w:w="60" w:type="dxa"/>
              <w:right w:w="60" w:type="dxa"/>
            </w:tcMar>
          </w:tcPr>
          <w:p w14:paraId="5A809DCE" w14:textId="77777777" w:rsidR="00A91553" w:rsidRDefault="00000000">
            <w:pPr>
              <w:ind w:left="60"/>
              <w:rPr>
                <w:color w:val="34393E"/>
                <w:sz w:val="15"/>
                <w:szCs w:val="15"/>
              </w:rPr>
            </w:pPr>
            <w:r>
              <w:rPr>
                <w:sz w:val="15"/>
                <w:szCs w:val="15"/>
              </w:rPr>
              <w:t xml:space="preserve">The percentage of released product changes that result in degraded service and require remediation (e.g. hotfix, rollback, patch). </w:t>
            </w:r>
            <w:r>
              <w:rPr>
                <w:color w:val="34393E"/>
                <w:sz w:val="15"/>
                <w:szCs w:val="15"/>
              </w:rPr>
              <w:t>For more information, see the</w:t>
            </w:r>
            <w:hyperlink r:id="rId21">
              <w:r>
                <w:rPr>
                  <w:color w:val="34393E"/>
                  <w:sz w:val="15"/>
                  <w:szCs w:val="15"/>
                </w:rPr>
                <w:t xml:space="preserve"> </w:t>
              </w:r>
            </w:hyperlink>
            <w:hyperlink r:id="rId22">
              <w:r>
                <w:rPr>
                  <w:color w:val="103CC0"/>
                  <w:sz w:val="15"/>
                  <w:szCs w:val="15"/>
                  <w:u w:val="single"/>
                </w:rPr>
                <w:t>DORA 2019 report</w:t>
              </w:r>
            </w:hyperlink>
            <w:r>
              <w:rPr>
                <w:color w:val="34393E"/>
                <w:sz w:val="15"/>
                <w:szCs w:val="15"/>
              </w:rPr>
              <w:t>.</w:t>
            </w:r>
          </w:p>
        </w:tc>
      </w:tr>
    </w:tbl>
    <w:p w14:paraId="1EC3C9EF" w14:textId="77777777" w:rsidR="00A91553" w:rsidRDefault="00000000">
      <w:pPr>
        <w:spacing w:after="360"/>
        <w:rPr>
          <w:sz w:val="17"/>
          <w:szCs w:val="17"/>
        </w:rPr>
      </w:pPr>
      <w:r>
        <w:rPr>
          <w:sz w:val="17"/>
          <w:szCs w:val="17"/>
        </w:rPr>
        <w:t xml:space="preserve"> </w:t>
      </w:r>
    </w:p>
    <w:p w14:paraId="582697D6" w14:textId="77777777" w:rsidR="00A91553" w:rsidRDefault="00000000">
      <w:pPr>
        <w:spacing w:after="280"/>
        <w:rPr>
          <w:b/>
          <w:color w:val="3B6FE2"/>
          <w:sz w:val="35"/>
          <w:szCs w:val="35"/>
        </w:rPr>
      </w:pPr>
      <w:r>
        <w:rPr>
          <w:b/>
          <w:color w:val="3B6FE2"/>
          <w:sz w:val="35"/>
          <w:szCs w:val="35"/>
        </w:rPr>
        <w:t xml:space="preserve"> </w:t>
      </w:r>
    </w:p>
    <w:p w14:paraId="5B9BC78E" w14:textId="77777777" w:rsidR="00A91553" w:rsidRDefault="00A91553"/>
    <w:sectPr w:rsidR="00A91553">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E1D9F" w14:textId="77777777" w:rsidR="008A2C02" w:rsidRDefault="008A2C02">
      <w:pPr>
        <w:spacing w:line="240" w:lineRule="auto"/>
      </w:pPr>
      <w:r>
        <w:separator/>
      </w:r>
    </w:p>
  </w:endnote>
  <w:endnote w:type="continuationSeparator" w:id="0">
    <w:p w14:paraId="50369C8F" w14:textId="77777777" w:rsidR="008A2C02" w:rsidRDefault="008A2C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B2039" w14:textId="77777777" w:rsidR="00B9549A" w:rsidRDefault="00B95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77777777" w:rsidR="00A91553" w:rsidRDefault="00000000">
    <w:pPr>
      <w:jc w:val="right"/>
    </w:pPr>
    <w:r>
      <w:t>© 2024 Scrum.org</w:t>
    </w:r>
    <w:r>
      <w:tab/>
      <w:t xml:space="preserve">                                                                                                          page </w:t>
    </w:r>
    <w:r>
      <w:fldChar w:fldCharType="begin"/>
    </w:r>
    <w:r>
      <w:instrText>PAGE</w:instrText>
    </w:r>
    <w:r>
      <w:fldChar w:fldCharType="separate"/>
    </w:r>
    <w:r w:rsidR="00061984">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70D14823"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p>
  <w:p w14:paraId="24145552" w14:textId="77777777" w:rsidR="00A91553" w:rsidRDefault="00A91553">
    <w:pPr>
      <w:jc w:val="center"/>
    </w:pPr>
  </w:p>
  <w:p w14:paraId="3B19F737" w14:textId="77777777" w:rsidR="00A91553" w:rsidRDefault="00000000">
    <w:pPr>
      <w:spacing w:line="240" w:lineRule="auto"/>
    </w:pPr>
    <w:r>
      <w:t xml:space="preserve">This publication is offered for license under the Attribution Share-Alike license of Creative Commons, accessible at http://creativecommons.org/licenses/by-sa/4.0/legalcode </w:t>
    </w:r>
    <w:proofErr w:type="gramStart"/>
    <w:r>
      <w:t>and also</w:t>
    </w:r>
    <w:proofErr w:type="gramEnd"/>
    <w:r>
      <w:t xml:space="preserve"> described in summary form at http://creativecommons.org/licenses/by-sa/4.0/. By utilizing this EBM Guide, you acknowledge and agree that you have read and agree to be bound by the terms of the Attribution Share-Alike license of Creative Commons.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89DF0" w14:textId="77777777" w:rsidR="008A2C02" w:rsidRDefault="008A2C02">
      <w:pPr>
        <w:spacing w:line="240" w:lineRule="auto"/>
      </w:pPr>
      <w:r>
        <w:separator/>
      </w:r>
    </w:p>
  </w:footnote>
  <w:footnote w:type="continuationSeparator" w:id="0">
    <w:p w14:paraId="0001CBE8" w14:textId="77777777" w:rsidR="008A2C02" w:rsidRDefault="008A2C02">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3"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w:t>
      </w:r>
      <w:r w:rsidRPr="00C1050B">
        <w:rPr>
          <w:lang w:val="nl-NL"/>
        </w:rPr>
        <w:t xml:space="preserve">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hyperlink r:id="rId4"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t xml:space="preserve"> </w:t>
      </w:r>
      <w:proofErr w:type="spellStart"/>
      <w:r w:rsidRPr="00C1050B">
        <w:t>Gebaseerd</w:t>
      </w:r>
      <w:proofErr w:type="spellEnd"/>
      <w:r w:rsidRPr="00C1050B">
        <w:t xml:space="preserve"> op de IEEE 829 </w:t>
      </w:r>
      <w:proofErr w:type="spellStart"/>
      <w:r w:rsidRPr="00C1050B">
        <w:t>specificatie</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92152" w14:textId="3766A0F9" w:rsidR="00B9549A" w:rsidRDefault="008A2C02">
    <w:pPr>
      <w:pStyle w:val="Header"/>
    </w:pPr>
    <w:r>
      <w:rPr>
        <w:noProof/>
      </w:rPr>
      <w:pict w14:anchorId="773A4A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574000" o:spid="_x0000_s1027" type="#_x0000_t136" alt="" style="position:absolute;margin-left:0;margin-top:0;width:532.75pt;height:126.4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CEP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E6ABC" w14:textId="753BB29D" w:rsidR="00B9549A" w:rsidRDefault="008A2C02">
    <w:pPr>
      <w:pStyle w:val="Header"/>
    </w:pPr>
    <w:r>
      <w:rPr>
        <w:noProof/>
      </w:rPr>
      <w:pict w14:anchorId="0E4020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574001" o:spid="_x0000_s1026" type="#_x0000_t136" alt="" style="position:absolute;margin-left:0;margin-top:0;width:532.75pt;height:126.4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CEP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8BDD6" w14:textId="7F51ACB1" w:rsidR="00B9549A" w:rsidRDefault="008A2C02">
    <w:pPr>
      <w:pStyle w:val="Header"/>
    </w:pPr>
    <w:r>
      <w:rPr>
        <w:noProof/>
      </w:rPr>
      <w:pict w14:anchorId="7B5AF7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573999" o:spid="_x0000_s1025" type="#_x0000_t136" alt="" style="position:absolute;margin-left:0;margin-top:0;width:532.75pt;height:126.4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CEP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61984"/>
    <w:rsid w:val="000D1F12"/>
    <w:rsid w:val="00197902"/>
    <w:rsid w:val="001F2DC9"/>
    <w:rsid w:val="00294913"/>
    <w:rsid w:val="00340789"/>
    <w:rsid w:val="003722B4"/>
    <w:rsid w:val="003D3FC8"/>
    <w:rsid w:val="00466770"/>
    <w:rsid w:val="004B61E4"/>
    <w:rsid w:val="004B69FA"/>
    <w:rsid w:val="005228CF"/>
    <w:rsid w:val="00585CC0"/>
    <w:rsid w:val="005D178B"/>
    <w:rsid w:val="005E3FF4"/>
    <w:rsid w:val="006933EF"/>
    <w:rsid w:val="006D5E28"/>
    <w:rsid w:val="00740B9F"/>
    <w:rsid w:val="007D03DF"/>
    <w:rsid w:val="007D45F2"/>
    <w:rsid w:val="0081460B"/>
    <w:rsid w:val="008A2C02"/>
    <w:rsid w:val="009578E4"/>
    <w:rsid w:val="009C3C0A"/>
    <w:rsid w:val="00A878E3"/>
    <w:rsid w:val="00A91553"/>
    <w:rsid w:val="00AD5AD0"/>
    <w:rsid w:val="00B305CB"/>
    <w:rsid w:val="00B9549A"/>
    <w:rsid w:val="00C1050B"/>
    <w:rsid w:val="00C81960"/>
    <w:rsid w:val="00CC46E5"/>
    <w:rsid w:val="00CD2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semiHidden/>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hyperlink" Target="https://cloud.google.com/devops/state-of-devops/?utm_source=thenewstack&amp;utm_medium=website&amp;utm_campaign=platfor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cloud.google.com/devops/state-of-devops/?utm_source=thenewstack&amp;utm_medium=website&amp;utm_campaign=platform" TargetMode="Externa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hyperlink" Target="https://cloud.google.com/devops/state-of-devops/?utm_source=thenewstack&amp;utm_medium=website&amp;utm_campaign=platfor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loud.google.com/devops/state-of-devops/?utm_source=thenewstack&amp;utm_medium=website&amp;utm_campaign=platform" TargetMode="External"/><Relationship Id="rId20" Type="http://schemas.openxmlformats.org/officeDocument/2006/relationships/hyperlink" Target="https://cloud.google.com/devops/state-of-devops/?utm_source=thenewstack&amp;utm_medium=website&amp;utm_campaign=platfor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loud.google.com/devops/state-of-devops/?utm_source=thenewstack&amp;utm_medium=website&amp;utm_campaign=platform"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sjoerd@scrumfacilitators.com" TargetMode="External"/><Relationship Id="rId19"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 Id="rId22" Type="http://schemas.openxmlformats.org/officeDocument/2006/relationships/hyperlink" Target="https://cloud.google.com/devops/state-of-devops/?utm_source=thenewstack&amp;utm_medium=website&amp;utm_campaign=platform" TargetMode="External"/><Relationship Id="rId27" Type="http://schemas.openxmlformats.org/officeDocument/2006/relationships/header" Target="head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17</Pages>
  <Words>4869</Words>
  <Characters>27755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Sjoerd Kranendonk</cp:lastModifiedBy>
  <cp:revision>17</cp:revision>
  <dcterms:created xsi:type="dcterms:W3CDTF">2024-05-01T19:40:00Z</dcterms:created>
  <dcterms:modified xsi:type="dcterms:W3CDTF">2024-06-28T08:55:00Z</dcterms:modified>
</cp:coreProperties>
</file>