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0221EC8" w:rsidR="00A91553" w:rsidRPr="00585CC0" w:rsidRDefault="00585CC0">
      <w:pP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omstandigheden</w:t>
      </w:r>
    </w:p>
    <w:p w14:paraId="6543428F" w14:textId="7438026F"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75E9C393" w:rsidR="00A91553" w:rsidRPr="0081460B" w:rsidRDefault="0081460B">
      <w:pPr>
        <w:rPr>
          <w:lang w:val="nl-NL"/>
        </w:rPr>
      </w:pPr>
      <w:proofErr w:type="gramStart"/>
      <w:r w:rsidRPr="0081460B">
        <w:rPr>
          <w:lang w:val="nl-NL"/>
        </w:rPr>
        <w:t>EBM right</w:t>
      </w:r>
      <w:proofErr w:type="gramEnd"/>
      <w:r w:rsidRPr="0081460B">
        <w:rPr>
          <w:lang w:val="nl-NL"/>
        </w:rPr>
        <w:t xml:space="preserve"> zich op drie doelniveaus:</w:t>
      </w:r>
    </w:p>
    <w:p w14:paraId="366FC856" w14:textId="77777777" w:rsidR="00A91553" w:rsidRPr="0081460B" w:rsidRDefault="00A91553">
      <w:pPr>
        <w:rPr>
          <w:lang w:val="nl-NL"/>
        </w:rPr>
      </w:pPr>
    </w:p>
    <w:p w14:paraId="4D076386" w14:textId="77777777" w:rsidR="0081460B" w:rsidRPr="000D1F12" w:rsidRDefault="0081460B" w:rsidP="0081460B">
      <w:pPr>
        <w:numPr>
          <w:ilvl w:val="0"/>
          <w:numId w:val="3"/>
        </w:numPr>
        <w:rPr>
          <w:lang w:val="nl-NL"/>
        </w:rPr>
      </w:pPr>
      <w:r w:rsidRPr="0081460B">
        <w:rPr>
          <w:b/>
          <w:lang w:val="nl-NL"/>
        </w:rPr>
        <w:t>Strategische Doelen</w:t>
      </w:r>
      <w:r w:rsidRPr="0081460B">
        <w:rPr>
          <w:bCs/>
          <w:lang w:val="nl-NL"/>
        </w:rPr>
        <w:t xml:space="preserve">, belangrijke zaken die de organisatie graag wil behalen.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81460B">
        <w:rPr>
          <w:bCs/>
          <w:i/>
          <w:iCs/>
          <w:lang w:val="nl-NL"/>
        </w:rPr>
        <w:t>Tussenliggende Doelen</w:t>
      </w:r>
      <w:r w:rsidRPr="0081460B">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76CA37F2" w14:textId="77777777" w:rsidR="00A91553" w:rsidRPr="0081460B" w:rsidRDefault="00A91553">
      <w:pPr>
        <w:rPr>
          <w:sz w:val="17"/>
          <w:szCs w:val="17"/>
          <w:lang w:val="nl-NL"/>
        </w:rPr>
      </w:pPr>
    </w:p>
    <w:p w14:paraId="46D14197" w14:textId="77777777" w:rsidR="00A91553" w:rsidRPr="0081460B" w:rsidRDefault="00000000">
      <w:pPr>
        <w:jc w:val="center"/>
        <w:rPr>
          <w:sz w:val="17"/>
          <w:szCs w:val="17"/>
          <w:lang w:val="nl-NL"/>
        </w:rPr>
      </w:pPr>
      <w:r w:rsidRPr="0081460B">
        <w:rPr>
          <w:sz w:val="17"/>
          <w:szCs w:val="17"/>
          <w:lang w:val="nl-NL"/>
        </w:rPr>
        <w:t xml:space="preserve"> </w:t>
      </w:r>
    </w:p>
    <w:p w14:paraId="64CE0F4D" w14:textId="67A2A545" w:rsidR="00A91553" w:rsidRDefault="00C81960">
      <w:pPr>
        <w:jc w:val="center"/>
        <w:rPr>
          <w:sz w:val="17"/>
          <w:szCs w:val="17"/>
        </w:rPr>
      </w:pPr>
      <w:r>
        <w:rPr>
          <w:noProof/>
          <w:sz w:val="17"/>
          <w:szCs w:val="17"/>
        </w:rPr>
        <w:lastRenderedPageBreak/>
        <w:drawing>
          <wp:inline distT="0" distB="0" distL="0" distR="0" wp14:anchorId="65AB45F2" wp14:editId="60E3FD97">
            <wp:extent cx="5943600" cy="5943600"/>
            <wp:effectExtent l="0" t="0" r="0" b="0"/>
            <wp:docPr id="536749180"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49180" name="Picture 1" descr="A diagram of 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C233DE1" w14:textId="1894C831" w:rsidR="00A91553" w:rsidRDefault="00C81960" w:rsidP="00C81960">
      <w:pPr>
        <w:rPr>
          <w:rStyle w:val="FootnoteReference"/>
          <w:b/>
          <w:vertAlign w:val="baseline"/>
          <w:lang w:val="nl-NL"/>
        </w:rPr>
      </w:pPr>
      <w:r w:rsidRPr="00C81960">
        <w:rPr>
          <w:b/>
          <w:lang w:val="nl-NL"/>
        </w:rPr>
        <w:t>Figuur 1: Behalen van Strategisch Doelen vereist experimenteren, inspecteren, en aanpassen</w:t>
      </w:r>
      <w:r w:rsidRPr="00C81960">
        <w:rPr>
          <w:rStyle w:val="FootnoteReference"/>
          <w:b/>
          <w:vertAlign w:val="baseline"/>
          <w:lang w:val="nl-NL"/>
        </w:rPr>
        <w:t xml:space="preserve"> </w:t>
      </w:r>
      <w:r w:rsidR="00061984">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Pr="00C81960"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43BCB135"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proofErr w:type="gramStart"/>
      <w:r w:rsidRPr="00197902">
        <w:rPr>
          <w:lang w:val="nl-NL"/>
        </w:rPr>
        <w:t>korte termijn doelstellingen</w:t>
      </w:r>
      <w:proofErr w:type="gramEnd"/>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104731AC"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w:t>
      </w:r>
      <w:proofErr w:type="spellStart"/>
      <w:r w:rsidRPr="003722B4">
        <w:rPr>
          <w:bCs/>
          <w:lang w:val="nl-NL"/>
        </w:rPr>
        <w:t>experiments</w:t>
      </w:r>
      <w:proofErr w:type="spellEnd"/>
      <w:r w:rsidRPr="003722B4">
        <w:rPr>
          <w:bCs/>
          <w:lang w:val="nl-NL"/>
        </w:rPr>
        <w:t xml:space="preserve"> in toom, bijvoorbeeld een organisatie kan 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w:t>
      </w:r>
      <w:r w:rsidR="003722B4" w:rsidRPr="003722B4">
        <w:rPr>
          <w:lang w:val="nl-NL"/>
        </w:rPr>
        <w:lastRenderedPageBreak/>
        <w:t>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2FDECA84"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proofErr w:type="spellStart"/>
      <w:r w:rsidR="004B69FA" w:rsidRPr="004B69FA">
        <w:rPr>
          <w:lang w:val="nl-NL"/>
        </w:rPr>
        <w:t>impacten</w:t>
      </w:r>
      <w:proofErr w:type="spellEnd"/>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w:t>
      </w:r>
      <w:r w:rsidRPr="00CC46E5">
        <w:rPr>
          <w:lang w:val="nl-NL"/>
        </w:rPr>
        <w:lastRenderedPageBreak/>
        <w:t xml:space="preserve">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Default="00C1050B" w:rsidP="00C1050B">
      <w:pPr>
        <w:pStyle w:val="Heading1"/>
        <w:rPr>
          <w:lang w:val="en-US"/>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lastRenderedPageBreak/>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4B61E4" w:rsidRDefault="004B61E4" w:rsidP="004B61E4">
      <w:pPr>
        <w:pStyle w:val="Heading1"/>
      </w:pPr>
      <w:r w:rsidRPr="004B61E4">
        <w:t xml:space="preserve">EBM </w:t>
      </w:r>
      <w:proofErr w:type="spellStart"/>
      <w:r w:rsidRPr="004B61E4">
        <w:t>bevat</w:t>
      </w:r>
      <w:proofErr w:type="spellEnd"/>
      <w:r w:rsidRPr="004B61E4">
        <w:t xml:space="preserve"> vier Key Value Areas </w:t>
      </w:r>
      <w:proofErr w:type="spellStart"/>
      <w:r w:rsidRPr="004B61E4">
        <w:t>voor</w:t>
      </w:r>
      <w:proofErr w:type="spellEnd"/>
      <w:r w:rsidRPr="004B61E4">
        <w:t xml:space="preserve"> het </w:t>
      </w:r>
      <w:proofErr w:type="spellStart"/>
      <w:r w:rsidRPr="004B61E4">
        <w:t>Onderzoeken</w:t>
      </w:r>
      <w:proofErr w:type="spellEnd"/>
      <w:r w:rsidRPr="004B61E4">
        <w:t xml:space="preserve"> van </w:t>
      </w:r>
      <w:proofErr w:type="spellStart"/>
      <w:r w:rsidRPr="004B61E4">
        <w:t>Verbeterkansen</w:t>
      </w:r>
      <w:proofErr w:type="spellEnd"/>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w:t>
      </w:r>
      <w:r w:rsidR="00000000" w:rsidRPr="005D178B">
        <w:rPr>
          <w:lang w:val="nl-NL"/>
        </w:rPr>
        <w:t xml:space="preserve"> </w:t>
      </w:r>
    </w:p>
    <w:p w14:paraId="5781C37A" w14:textId="61DE3C9A" w:rsidR="00A91553" w:rsidRDefault="005D178B">
      <w:r>
        <w:rPr>
          <w:noProof/>
        </w:rPr>
        <w:lastRenderedPageBreak/>
        <w:drawing>
          <wp:inline distT="0" distB="0" distL="0" distR="0" wp14:anchorId="1628A5A3" wp14:editId="1CBAB12C">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w:t>
      </w:r>
      <w:r w:rsidR="00000000" w:rsidRPr="005D178B">
        <w:rPr>
          <w:lang w:val="nl-NL"/>
        </w:rPr>
        <w:t xml:space="preserve"> </w:t>
      </w:r>
    </w:p>
    <w:p w14:paraId="30E9FB52" w14:textId="77777777" w:rsidR="00A91553" w:rsidRDefault="00000000">
      <w:pPr>
        <w:pStyle w:val="Heading2"/>
        <w:spacing w:after="240"/>
      </w:pPr>
      <w:bookmarkStart w:id="8" w:name="_qdisjmqtnsg9" w:colFirst="0" w:colLast="0"/>
      <w:bookmarkEnd w:id="8"/>
      <w:r>
        <w:t>Current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00000000"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Betrokken medewerkers die weten hoe ze het product kunnen onderhouden, continueren en verbeteren zijn een van de meest significante middelen van een organisatie, en tevreden medewerkers tonen hogere betrokkenheid en productiviteit.</w:t>
      </w:r>
      <w:r w:rsidR="00000000" w:rsidRPr="005228CF">
        <w:rPr>
          <w:lang w:val="nl-NL"/>
        </w:rPr>
        <w:t xml:space="preserve">  </w:t>
      </w:r>
    </w:p>
    <w:p w14:paraId="18064FE9" w14:textId="77777777" w:rsidR="00A91553" w:rsidRDefault="00000000">
      <w:pPr>
        <w:pStyle w:val="Heading2"/>
        <w:spacing w:after="240"/>
      </w:pPr>
      <w:bookmarkStart w:id="10" w:name="_q8tl3vha54if" w:colFirst="0" w:colLast="0"/>
      <w:bookmarkEnd w:id="10"/>
      <w:r>
        <w:t>Unrealized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000000" w:rsidRPr="005228CF">
        <w:rPr>
          <w:lang w:val="nl-NL"/>
        </w:rPr>
        <w:t>.</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w:t>
      </w:r>
      <w:r w:rsidRPr="005228CF">
        <w:rPr>
          <w:bCs/>
          <w:lang w:val="nl-NL"/>
        </w:rPr>
        <w:lastRenderedPageBreak/>
        <w:t>marktpotentieel is. Het is waarschijnlijk gerechtvaardigd om een poging te doen om CV te verhogen, gegeven de potentiële winst, door te investeren in het product ondanks dat het product momenteel geen hoge CV oplevert.</w:t>
      </w:r>
      <w:r w:rsidR="00000000"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r w:rsidR="00000000" w:rsidRPr="005228CF">
        <w:rPr>
          <w:lang w:val="nl-NL"/>
        </w:rPr>
        <w:t>.</w:t>
      </w:r>
    </w:p>
    <w:p w14:paraId="0F43EC95" w14:textId="77777777" w:rsidR="00A91553" w:rsidRPr="005228CF" w:rsidRDefault="00A91553">
      <w:pPr>
        <w:ind w:left="720"/>
        <w:rPr>
          <w:lang w:val="nl-NL"/>
        </w:rPr>
      </w:pPr>
    </w:p>
    <w:p w14:paraId="3BD7BF8F" w14:textId="77777777" w:rsidR="00A91553" w:rsidRDefault="00000000">
      <w:pPr>
        <w:pStyle w:val="Heading2"/>
        <w:spacing w:after="240"/>
      </w:pPr>
      <w:bookmarkStart w:id="12" w:name="_56wtnnnebonh" w:colFirst="0" w:colLast="0"/>
      <w:bookmarkEnd w:id="12"/>
      <w:r>
        <w:t>Ability to Innovate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00000000" w:rsidRPr="005228CF">
        <w:rPr>
          <w:lang w:val="nl-NL"/>
        </w:rPr>
        <w:t xml:space="preserve">: </w:t>
      </w:r>
      <w:r w:rsidRPr="005228CF">
        <w:rPr>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r w:rsidR="00000000" w:rsidRPr="005228CF">
        <w:rPr>
          <w:lang w:val="nl-NL"/>
        </w:rPr>
        <w:t xml:space="preserve">.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000000" w:rsidRPr="005228CF">
        <w:rPr>
          <w:lang w:val="nl-NL"/>
        </w:rPr>
        <w:t>.</w:t>
      </w:r>
    </w:p>
    <w:p w14:paraId="59FE429F" w14:textId="77777777" w:rsidR="00A91553" w:rsidRDefault="00000000">
      <w:pPr>
        <w:pStyle w:val="Heading2"/>
        <w:spacing w:after="240"/>
      </w:pPr>
      <w:bookmarkStart w:id="14" w:name="_680k88ev3qh5" w:colFirst="0" w:colLast="0"/>
      <w:bookmarkEnd w:id="14"/>
      <w:r>
        <w:lastRenderedPageBreak/>
        <w:t>Time-to-Market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Wanneer T2M verbetert, verbetert ook de frequentie waarmee een organisatie haar CV kan mogelijk kan aanpassen.</w:t>
      </w:r>
      <w:r w:rsidR="00000000" w:rsidRPr="005228CF">
        <w:rPr>
          <w:lang w:val="nl-NL"/>
        </w:rPr>
        <w:t xml:space="preserve">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00000000" w:rsidRPr="00B305CB">
        <w:rPr>
          <w:lang w:val="nl-NL"/>
        </w:rPr>
        <w:t xml:space="preserve">: </w:t>
      </w:r>
      <w:r w:rsidRPr="00B305CB">
        <w:rPr>
          <w:lang w:val="nl-NL"/>
        </w:rPr>
        <w:t xml:space="preserve">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000000" w:rsidRPr="00B305CB">
        <w:rPr>
          <w:lang w:val="nl-NL"/>
        </w:rPr>
        <w:t xml:space="preserve">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lastRenderedPageBreak/>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A878E3" w:rsidRDefault="00A878E3" w:rsidP="00A878E3">
      <w:pPr>
        <w:rPr>
          <w:lang w:val="nl-NL"/>
        </w:rPr>
      </w:pPr>
      <w:r w:rsidRPr="00A878E3">
        <w:rPr>
          <w:lang w:val="nl-NL"/>
        </w:rPr>
        <w:t>Vertaalgroep: Scrum Facilitators Community</w:t>
      </w:r>
    </w:p>
    <w:p w14:paraId="6AF833E3" w14:textId="0F43D40A" w:rsidR="00A878E3" w:rsidRDefault="00A878E3" w:rsidP="00A878E3">
      <w:pPr>
        <w:rPr>
          <w:lang w:val="en-US"/>
        </w:rPr>
      </w:pPr>
      <w:r w:rsidRPr="00A878E3">
        <w:rPr>
          <w:lang w:val="en-US"/>
        </w:rPr>
        <w:t xml:space="preserve">Contact email: </w:t>
      </w:r>
      <w:hyperlink r:id="rId10" w:history="1">
        <w:r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Look w:val="04A0" w:firstRow="1" w:lastRow="0" w:firstColumn="1" w:lastColumn="0" w:noHBand="0" w:noVBand="1"/>
      </w:tblPr>
      <w:tblGrid>
        <w:gridCol w:w="988"/>
        <w:gridCol w:w="8362"/>
      </w:tblGrid>
      <w:tr w:rsidR="00A878E3" w:rsidRPr="00A878E3" w14:paraId="661544F0" w14:textId="77777777" w:rsidTr="00A878E3">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14:paraId="645F75FB" w14:textId="77777777" w:rsidTr="00A878E3">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878E3">
              <w:rPr>
                <w:lang w:val="nl-NL"/>
              </w:rPr>
              <w:t xml:space="preserve">Volledige herziening op basis van de 2024 versie van de Engelse </w:t>
            </w:r>
            <w:proofErr w:type="spellStart"/>
            <w:r w:rsidRPr="00A878E3">
              <w:rPr>
                <w:lang w:val="nl-NL"/>
              </w:rPr>
              <w:t>Evidence-Based</w:t>
            </w:r>
            <w:proofErr w:type="spellEnd"/>
            <w:r w:rsidRPr="00A878E3">
              <w:rPr>
                <w:lang w:val="nl-NL"/>
              </w:rPr>
              <w:t xml:space="preserve"> Management Guide. </w:t>
            </w:r>
            <w:r>
              <w:rPr>
                <w:lang w:val="nl-NL"/>
              </w:rPr>
              <w:t xml:space="preserve">In het bijgevoegde blog (Appendix 2) staan de belangrijkste veranderingen beschreven. </w:t>
            </w:r>
            <w:r w:rsidRPr="00A878E3">
              <w:rPr>
                <w:lang w:val="nl-NL"/>
              </w:rPr>
              <w:t xml:space="preserve">Zie voor </w:t>
            </w:r>
            <w:r>
              <w:rPr>
                <w:lang w:val="nl-NL"/>
              </w:rPr>
              <w:t xml:space="preserve">alle </w:t>
            </w:r>
            <w:r w:rsidRPr="00A878E3">
              <w:rPr>
                <w:lang w:val="nl-NL"/>
              </w:rPr>
              <w:t xml:space="preserve">details en veranderingen ten opzichte van de vorige vertaling van de 2020 </w:t>
            </w:r>
            <w:r>
              <w:rPr>
                <w:lang w:val="nl-NL"/>
              </w:rPr>
              <w:t xml:space="preserve">versie </w:t>
            </w:r>
            <w:hyperlink r:id="rId14" w:history="1">
              <w:r w:rsidRPr="00EA3BC1">
                <w:rPr>
                  <w:rStyle w:val="Hyperlink"/>
                  <w:lang w:val="nl-NL"/>
                </w:rPr>
                <w:t>https://github.com/ScrumFacilitators/EBM-Gids-NL/releases</w:t>
              </w:r>
            </w:hyperlink>
            <w:r>
              <w:rPr>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0577AF"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0577AF"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0577AF"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0577AF"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0577AF"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0577AF"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0577AF"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0577AF"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0577AF"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0577AF"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0577AF"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0577AF"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0577AF"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603DA1"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603DA1"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0577AF"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0577AF"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0577AF"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0577AF"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0577AF"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0577AF"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0577AF"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0577AF"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0577AF"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0577AF"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0577AF"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0577AF"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0577AF"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Default="00BF23B8" w:rsidP="00BF23B8">
      <w:pPr>
        <w:pStyle w:val="Heading1"/>
      </w:pPr>
      <w:r w:rsidRPr="00BF23B8">
        <w:lastRenderedPageBreak/>
        <w:t>Appendix 2</w:t>
      </w:r>
      <w:r>
        <w:t xml:space="preserve">: </w:t>
      </w:r>
      <w:r w:rsidRPr="00BF23B8">
        <w:t xml:space="preserve">Evidence-Based Management Gids, 2024 - Wat er is </w:t>
      </w:r>
      <w:proofErr w:type="spellStart"/>
      <w:r w:rsidRPr="00BF23B8">
        <w:t>veranderd</w:t>
      </w:r>
      <w:proofErr w:type="spellEnd"/>
    </w:p>
    <w:p w14:paraId="49A3B235" w14:textId="4FB8B960" w:rsidR="00BF23B8" w:rsidRDefault="00BF23B8" w:rsidP="00BF23B8">
      <w:pPr>
        <w:pStyle w:val="Subtitle"/>
      </w:pPr>
      <w:r w:rsidRPr="00BF23B8">
        <w:t>Door: Patricia Kong and Kurt Bittner</w:t>
      </w:r>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35BCD" w14:textId="77777777" w:rsidR="00FD15F3" w:rsidRDefault="00FD15F3">
      <w:pPr>
        <w:spacing w:line="240" w:lineRule="auto"/>
      </w:pPr>
      <w:r>
        <w:separator/>
      </w:r>
    </w:p>
  </w:endnote>
  <w:endnote w:type="continuationSeparator" w:id="0">
    <w:p w14:paraId="247AFE07" w14:textId="77777777" w:rsidR="00FD15F3" w:rsidRDefault="00FD15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B2039" w14:textId="77777777" w:rsidR="00B9549A" w:rsidRDefault="00B954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77777777" w:rsidR="00A91553" w:rsidRDefault="00000000">
    <w:pPr>
      <w:jc w:val="right"/>
    </w:pPr>
    <w:r>
      <w:t>© 2024 Scrum.org</w:t>
    </w:r>
    <w:r>
      <w:tab/>
      <w:t xml:space="preserve">                                                                                                          page </w:t>
    </w:r>
    <w:r>
      <w:fldChar w:fldCharType="begin"/>
    </w:r>
    <w:r>
      <w:instrText>PAGE</w:instrText>
    </w:r>
    <w:r>
      <w:fldChar w:fldCharType="separate"/>
    </w:r>
    <w:r w:rsidR="00061984">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70D14823"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p>
  <w:p w14:paraId="24145552" w14:textId="77777777" w:rsidR="00A91553" w:rsidRDefault="00A91553">
    <w:pPr>
      <w:jc w:val="center"/>
    </w:pPr>
  </w:p>
  <w:p w14:paraId="3B19F737" w14:textId="77777777" w:rsidR="00A91553" w:rsidRDefault="00000000">
    <w:pPr>
      <w:spacing w:line="240" w:lineRule="auto"/>
    </w:pPr>
    <w:r>
      <w:t xml:space="preserve">This publication is offered for license under the Attribution Share-Alike license of Creative Commons, accessible at http://creativecommons.org/licenses/by-sa/4.0/legalcode </w:t>
    </w:r>
    <w:proofErr w:type="gramStart"/>
    <w:r>
      <w:t>and also</w:t>
    </w:r>
    <w:proofErr w:type="gramEnd"/>
    <w:r>
      <w:t xml:space="preserve"> described in summary form at http://creativecommons.org/licenses/by-sa/4.0/. By utilizing this EBM Guide, you acknowledge and agree that you have read and agree to be bound by the terms of the Attribution Share-Alike license of Creative Commons.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3368F" w14:textId="77777777" w:rsidR="00FD15F3" w:rsidRDefault="00FD15F3">
      <w:pPr>
        <w:spacing w:line="240" w:lineRule="auto"/>
      </w:pPr>
      <w:r>
        <w:separator/>
      </w:r>
    </w:p>
  </w:footnote>
  <w:footnote w:type="continuationSeparator" w:id="0">
    <w:p w14:paraId="5D538390" w14:textId="77777777" w:rsidR="00FD15F3" w:rsidRDefault="00FD15F3">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w:t>
      </w:r>
      <w:r w:rsidRPr="00C1050B">
        <w:rPr>
          <w:lang w:val="nl-NL"/>
        </w:rPr>
        <w:t xml:space="preserve">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t xml:space="preserve"> </w:t>
      </w:r>
      <w:proofErr w:type="spellStart"/>
      <w:r w:rsidRPr="00C1050B">
        <w:t>Gebaseerd</w:t>
      </w:r>
      <w:proofErr w:type="spellEnd"/>
      <w:r w:rsidRPr="00C1050B">
        <w:t xml:space="preserve"> op de IEEE 829 </w:t>
      </w:r>
      <w:proofErr w:type="spellStart"/>
      <w:r w:rsidRPr="00C1050B">
        <w:t>specificatie</w:t>
      </w:r>
      <w:proofErr w:type="spellEnd"/>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92152" w14:textId="3766A0F9" w:rsidR="00B9549A" w:rsidRDefault="00FD15F3">
    <w:pPr>
      <w:pStyle w:val="Header"/>
    </w:pPr>
    <w:r>
      <w:rPr>
        <w:noProof/>
      </w:rPr>
      <w:pict w14:anchorId="773A4A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4000" o:spid="_x0000_s1027" type="#_x0000_t136" alt="" style="position:absolute;margin-left:0;margin-top:0;width:532.75pt;height:126.4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E6ABC" w14:textId="753BB29D" w:rsidR="00B9549A" w:rsidRDefault="00FD15F3">
    <w:pPr>
      <w:pStyle w:val="Header"/>
    </w:pPr>
    <w:r>
      <w:rPr>
        <w:noProof/>
      </w:rPr>
      <w:pict w14:anchorId="0E4020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4001" o:spid="_x0000_s1026" type="#_x0000_t136" alt="" style="position:absolute;margin-left:0;margin-top:0;width:532.75pt;height:126.4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BDD6" w14:textId="7F51ACB1" w:rsidR="00B9549A" w:rsidRDefault="00FD15F3">
    <w:pPr>
      <w:pStyle w:val="Header"/>
    </w:pPr>
    <w:r>
      <w:rPr>
        <w:noProof/>
      </w:rPr>
      <w:pict w14:anchorId="7B5AF7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4573999" o:spid="_x0000_s1025" type="#_x0000_t136" alt="" style="position:absolute;margin-left:0;margin-top:0;width:532.75pt;height:126.4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CEP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D1F12"/>
    <w:rsid w:val="00197902"/>
    <w:rsid w:val="001F2DC9"/>
    <w:rsid w:val="00294913"/>
    <w:rsid w:val="00340789"/>
    <w:rsid w:val="003722B4"/>
    <w:rsid w:val="003D3FC8"/>
    <w:rsid w:val="00466770"/>
    <w:rsid w:val="004B61E4"/>
    <w:rsid w:val="004B69FA"/>
    <w:rsid w:val="004C5C5A"/>
    <w:rsid w:val="005228CF"/>
    <w:rsid w:val="00585CC0"/>
    <w:rsid w:val="005D178B"/>
    <w:rsid w:val="005E3FF4"/>
    <w:rsid w:val="006933EF"/>
    <w:rsid w:val="006D5E28"/>
    <w:rsid w:val="00740B9F"/>
    <w:rsid w:val="007D03DF"/>
    <w:rsid w:val="007D45F2"/>
    <w:rsid w:val="0081460B"/>
    <w:rsid w:val="009578E4"/>
    <w:rsid w:val="009C3C0A"/>
    <w:rsid w:val="00A77DD5"/>
    <w:rsid w:val="00A878E3"/>
    <w:rsid w:val="00A91553"/>
    <w:rsid w:val="00AD5AD0"/>
    <w:rsid w:val="00B305CB"/>
    <w:rsid w:val="00B9549A"/>
    <w:rsid w:val="00BF23B8"/>
    <w:rsid w:val="00C1050B"/>
    <w:rsid w:val="00C81960"/>
    <w:rsid w:val="00CC46E5"/>
    <w:rsid w:val="00CD281D"/>
    <w:rsid w:val="00F73F29"/>
    <w:rsid w:val="00FD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joerd@scrumfacilitator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20</Pages>
  <Words>5375</Words>
  <Characters>30639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Sjoerd Kranendonk</cp:lastModifiedBy>
  <cp:revision>21</cp:revision>
  <dcterms:created xsi:type="dcterms:W3CDTF">2024-05-01T19:40:00Z</dcterms:created>
  <dcterms:modified xsi:type="dcterms:W3CDTF">2024-06-28T09:52:00Z</dcterms:modified>
</cp:coreProperties>
</file>