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27506" w14:textId="77777777" w:rsidR="00F62241" w:rsidRDefault="00000000">
      <w:pPr>
        <w:pStyle w:val="Heading1"/>
      </w:pPr>
      <w:r>
        <w:t>GOVERNMENT EFFECTIVENESS EVIDENCE CAMPAIGN — business plan (v1, draft)</w:t>
      </w:r>
    </w:p>
    <w:p w14:paraId="28702FB6" w14:textId="77777777" w:rsidR="00F62241" w:rsidRDefault="00000000">
      <w:r>
        <w:rPr>
          <w:b/>
          <w:bCs/>
        </w:rPr>
        <w:t>Date:</w:t>
      </w:r>
      <w:r>
        <w:t xml:space="preserve"> 2026-06-28. </w:t>
      </w:r>
      <w:r>
        <w:rPr>
          <w:b/>
          <w:bCs/>
        </w:rPr>
        <w:t>Status:</w:t>
      </w:r>
      <w:r>
        <w:t xml:space="preserve"> vision/plan. A separate, later workstream from the core platform (design now, build when the platform gives it somewhere to plug in and there is moderation + legal capacity). Companion to </w:t>
      </w:r>
      <w:r>
        <w:rPr>
          <w:rStyle w:val="VerbatimChar"/>
        </w:rPr>
        <w:t>SEARCH_STRATEGY.md</w:t>
      </w:r>
      <w:r>
        <w:t xml:space="preserve"> §9.5 (the </w:t>
      </w:r>
      <w:proofErr w:type="gramStart"/>
      <w:r>
        <w:t>institutional-outcome</w:t>
      </w:r>
      <w:proofErr w:type="gramEnd"/>
      <w:r>
        <w:t xml:space="preserve"> graph this feeds).</w:t>
      </w:r>
    </w:p>
    <w:p w14:paraId="72E32C5C" w14:textId="77777777" w:rsidR="00F62241" w:rsidRDefault="00F62241">
      <w:pPr>
        <w:pBdr>
          <w:bottom w:val="single" w:sz="6" w:space="0" w:color="000000"/>
        </w:pBdr>
      </w:pPr>
    </w:p>
    <w:p w14:paraId="1029BE0F" w14:textId="77777777" w:rsidR="00F62241" w:rsidRDefault="00F62241"/>
    <w:p w14:paraId="2C6D0A03" w14:textId="77777777" w:rsidR="00F62241" w:rsidRDefault="00000000">
      <w:pPr>
        <w:pStyle w:val="Heading2"/>
      </w:pPr>
      <w:r>
        <w:t>1. The idea, and why it is worth doing</w:t>
      </w:r>
    </w:p>
    <w:p w14:paraId="6E25D048" w14:textId="77777777" w:rsidR="00F62241" w:rsidRDefault="00000000">
      <w:r>
        <w:t xml:space="preserve">A public, structured channel inviting civil servants and the public to submit </w:t>
      </w:r>
      <w:r>
        <w:rPr>
          <w:b/>
          <w:bCs/>
        </w:rPr>
        <w:t>concrete examples of where government works and where it fails</w:t>
      </w:r>
      <w:r>
        <w:t xml:space="preserve"> — waste, friction, structural and cultural problems, and reforms that worked. Submissions are collected as </w:t>
      </w:r>
      <w:r>
        <w:rPr>
          <w:b/>
          <w:bCs/>
        </w:rPr>
        <w:t>structured form data, never published without permission</w:t>
      </w:r>
      <w:r>
        <w:t>, mined for striking verifiable findings, and turned into news stories that draw in more submissions.</w:t>
      </w:r>
    </w:p>
    <w:p w14:paraId="3BB44707" w14:textId="77777777" w:rsidR="00F62241" w:rsidRDefault="00000000">
      <w:r>
        <w:t xml:space="preserve">Why it matters: official corpora (legislation, inquiries, NAO) tell you law and post-hoc findings, but </w:t>
      </w:r>
      <w:r>
        <w:rPr>
          <w:b/>
          <w:bCs/>
        </w:rPr>
        <w:t xml:space="preserve">not how implementation </w:t>
      </w:r>
      <w:proofErr w:type="gramStart"/>
      <w:r>
        <w:rPr>
          <w:b/>
          <w:bCs/>
        </w:rPr>
        <w:t>actually fails</w:t>
      </w:r>
      <w:proofErr w:type="gramEnd"/>
      <w:r>
        <w:rPr>
          <w:b/>
          <w:bCs/>
        </w:rPr>
        <w:t xml:space="preserve"> on the ground, or how institutional incentives play out</w:t>
      </w:r>
      <w:r>
        <w:t>. Front-line, real-world evidence is data you cannot get any other way. It becomes (a) a unique corpus feeding the platform's principle and institutional-outcome streams, (b) a public evidence resource that is itself a credibility/PR asset, and (c) the fuel for a growth flywheel.</w:t>
      </w:r>
    </w:p>
    <w:p w14:paraId="0E15AE8A" w14:textId="77777777" w:rsidR="00F62241" w:rsidRDefault="00F62241">
      <w:pPr>
        <w:pBdr>
          <w:bottom w:val="single" w:sz="6" w:space="0" w:color="000000"/>
        </w:pBdr>
      </w:pPr>
    </w:p>
    <w:p w14:paraId="70D5932F" w14:textId="77777777" w:rsidR="00F62241" w:rsidRDefault="00F62241"/>
    <w:p w14:paraId="4C7C74F9" w14:textId="77777777" w:rsidR="00F62241" w:rsidRDefault="00000000">
      <w:pPr>
        <w:pStyle w:val="Heading2"/>
      </w:pPr>
      <w:r>
        <w:t>2. The growth engine — the flywheel</w:t>
      </w:r>
    </w:p>
    <w:p w14:paraId="5DA05AE2" w14:textId="77777777" w:rsidR="00F62241" w:rsidRDefault="00000000">
      <w:r>
        <w:t>This is the core mechanic; everything else serves it.</w:t>
      </w:r>
    </w:p>
    <w:p w14:paraId="664B4717" w14:textId="77777777" w:rsidR="00A34B76" w:rsidRDefault="00A34B76" w:rsidP="00A34B76">
      <w:r>
        <w:t xml:space="preserve">Each turn compounds: better findings → better stories → more reach → more submissions → better findings. The story output is also what makes the data </w:t>
      </w:r>
      <w:r>
        <w:rPr>
          <w:i/>
          <w:iCs/>
        </w:rPr>
        <w:t>worth collecting</w:t>
      </w:r>
      <w:r>
        <w:t xml:space="preserve"> — without the publishing loop it is just a database.</w:t>
      </w:r>
    </w:p>
    <w:p w14:paraId="6BCB758D" w14:textId="54E61F9A" w:rsidR="00F62241" w:rsidRDefault="00A34B76">
      <w:pPr>
        <w:pStyle w:val="SourceCodeLanguage"/>
      </w:pPr>
      <w:r w:rsidRPr="00A34B76">
        <w:lastRenderedPageBreak/>
        <w:drawing>
          <wp:inline distT="0" distB="0" distL="0" distR="0" wp14:anchorId="1B572A31" wp14:editId="71A52535">
            <wp:extent cx="5400040" cy="3010535"/>
            <wp:effectExtent l="0" t="0" r="0" b="0"/>
            <wp:docPr id="177750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07276" name=""/>
                    <pic:cNvPicPr/>
                  </pic:nvPicPr>
                  <pic:blipFill>
                    <a:blip r:embed="rId5"/>
                    <a:stretch>
                      <a:fillRect/>
                    </a:stretch>
                  </pic:blipFill>
                  <pic:spPr>
                    <a:xfrm>
                      <a:off x="0" y="0"/>
                      <a:ext cx="5400040" cy="3010535"/>
                    </a:xfrm>
                    <a:prstGeom prst="rect">
                      <a:avLst/>
                    </a:prstGeom>
                  </pic:spPr>
                </pic:pic>
              </a:graphicData>
            </a:graphic>
          </wp:inline>
        </w:drawing>
      </w:r>
    </w:p>
    <w:p w14:paraId="78BCCC0F" w14:textId="77777777" w:rsidR="00F62241" w:rsidRDefault="00F62241"/>
    <w:p w14:paraId="7DED47F1" w14:textId="77777777" w:rsidR="00F62241" w:rsidRDefault="00000000">
      <w:pPr>
        <w:pStyle w:val="Heading2"/>
      </w:pPr>
      <w:r>
        <w:t>3. Positioning — positive, non-partisan, balanced (the make-or-break)</w:t>
      </w:r>
    </w:p>
    <w:p w14:paraId="12EDE95B" w14:textId="77777777" w:rsidR="00F62241" w:rsidRDefault="00000000">
      <w:r>
        <w:t>The framing decides whether this becomes a load-bearing dataset or a dismissible grievance dump.</w:t>
      </w:r>
    </w:p>
    <w:p w14:paraId="4C1E04D3" w14:textId="77777777" w:rsidR="00F62241" w:rsidRDefault="00000000">
      <w:pPr>
        <w:numPr>
          <w:ilvl w:val="0"/>
          <w:numId w:val="4"/>
        </w:numPr>
      </w:pPr>
      <w:r>
        <w:rPr>
          <w:b/>
          <w:bCs/>
        </w:rPr>
        <w:t>Frame as constructive inquiry: "finding ways to make government work better."</w:t>
      </w:r>
      <w:r>
        <w:t xml:space="preserve"> Not "exposing how the Civil Service manipulates." The same evidence gathered constructively is far harder to dismiss, and it is taken seriously by the very people who can act on it — including the reformers </w:t>
      </w:r>
      <w:r>
        <w:rPr>
          <w:i/>
          <w:iCs/>
        </w:rPr>
        <w:t>inside</w:t>
      </w:r>
      <w:r>
        <w:t xml:space="preserve"> government who are your best sources. The adversarial frame alienates them and attracts one-sided submissions that destroy the dataset's credibility.</w:t>
      </w:r>
    </w:p>
    <w:p w14:paraId="36ABF868" w14:textId="77777777" w:rsidR="00F62241" w:rsidRDefault="00000000">
      <w:pPr>
        <w:numPr>
          <w:ilvl w:val="0"/>
          <w:numId w:val="4"/>
        </w:numPr>
      </w:pPr>
      <w:r>
        <w:rPr>
          <w:b/>
          <w:bCs/>
        </w:rPr>
        <w:t>Collect what works, not only what fails</w:t>
      </w:r>
      <w:r>
        <w:t xml:space="preserve"> (see §4). A failure-only campaign reads as a grudge list. Successes give balance, credibility, </w:t>
      </w:r>
      <w:r>
        <w:rPr>
          <w:i/>
          <w:iCs/>
        </w:rPr>
        <w:t>and the positive news stories the flywheel needs</w:t>
      </w:r>
      <w:r>
        <w:t>. This is the single most important addition to the category list.</w:t>
      </w:r>
    </w:p>
    <w:p w14:paraId="7E657AE1" w14:textId="77777777" w:rsidR="00F62241" w:rsidRDefault="00000000">
      <w:pPr>
        <w:numPr>
          <w:ilvl w:val="0"/>
          <w:numId w:val="4"/>
        </w:numPr>
      </w:pPr>
      <w:r>
        <w:rPr>
          <w:b/>
          <w:bCs/>
        </w:rPr>
        <w:t>Strictly non-partisan.</w:t>
      </w:r>
      <w:r>
        <w:t xml:space="preserve"> Problems and fixes, not parties. Protects both the campaign and </w:t>
      </w:r>
      <w:proofErr w:type="spellStart"/>
      <w:r>
        <w:t>Scrutinise's</w:t>
      </w:r>
      <w:proofErr w:type="spellEnd"/>
      <w:r>
        <w:t xml:space="preserve"> neutrality.</w:t>
      </w:r>
    </w:p>
    <w:p w14:paraId="1628066C" w14:textId="77777777" w:rsidR="00F62241" w:rsidRDefault="00000000">
      <w:pPr>
        <w:numPr>
          <w:ilvl w:val="0"/>
          <w:numId w:val="4"/>
        </w:numPr>
      </w:pPr>
      <w:r>
        <w:rPr>
          <w:b/>
          <w:bCs/>
        </w:rPr>
        <w:t>Consider a distinct sub-brand</w:t>
      </w:r>
      <w:r>
        <w:t xml:space="preserve"> (positive, plain-English) so the campaign's tone and any controversy stay separable from the core Scrutinise platform.</w:t>
      </w:r>
    </w:p>
    <w:p w14:paraId="188B1A4E" w14:textId="77777777" w:rsidR="00F62241" w:rsidRDefault="00F62241">
      <w:pPr>
        <w:pBdr>
          <w:bottom w:val="single" w:sz="6" w:space="0" w:color="000000"/>
        </w:pBdr>
      </w:pPr>
    </w:p>
    <w:p w14:paraId="2B7CD73D" w14:textId="77777777" w:rsidR="00F62241" w:rsidRDefault="00F62241"/>
    <w:p w14:paraId="6F59FBC6" w14:textId="77777777" w:rsidR="00F62241" w:rsidRDefault="00000000">
      <w:pPr>
        <w:pStyle w:val="Heading2"/>
      </w:pPr>
      <w:r>
        <w:t>4. Categories (your divisions, refined + extended)</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228"/>
        <w:gridCol w:w="3108"/>
        <w:gridCol w:w="3108"/>
      </w:tblGrid>
      <w:tr w:rsidR="00F62241" w14:paraId="4FE99DF0" w14:textId="77777777">
        <w:tc>
          <w:tcPr>
            <w:tcW w:w="0" w:type="auto"/>
          </w:tcPr>
          <w:p w14:paraId="6A1CD91B" w14:textId="77777777" w:rsidR="00F62241" w:rsidRDefault="00000000">
            <w:r>
              <w:t>Category</w:t>
            </w:r>
          </w:p>
        </w:tc>
        <w:tc>
          <w:tcPr>
            <w:tcW w:w="0" w:type="auto"/>
          </w:tcPr>
          <w:p w14:paraId="6FC1DC83" w14:textId="77777777" w:rsidR="00F62241" w:rsidRDefault="00000000">
            <w:r>
              <w:t>What it captures</w:t>
            </w:r>
          </w:p>
        </w:tc>
        <w:tc>
          <w:tcPr>
            <w:tcW w:w="0" w:type="auto"/>
          </w:tcPr>
          <w:p w14:paraId="7B358985" w14:textId="77777777" w:rsidR="00F62241" w:rsidRDefault="00000000">
            <w:r>
              <w:t>Note</w:t>
            </w:r>
          </w:p>
        </w:tc>
      </w:tr>
      <w:tr w:rsidR="00F62241" w14:paraId="1ED46737" w14:textId="77777777">
        <w:tc>
          <w:tcPr>
            <w:tcW w:w="0" w:type="auto"/>
          </w:tcPr>
          <w:p w14:paraId="505CEC4F" w14:textId="77777777" w:rsidR="00F62241" w:rsidRDefault="00000000">
            <w:r>
              <w:rPr>
                <w:b/>
                <w:bCs/>
              </w:rPr>
              <w:t>Financial waste</w:t>
            </w:r>
          </w:p>
        </w:tc>
        <w:tc>
          <w:tcPr>
            <w:tcW w:w="0" w:type="auto"/>
          </w:tcPr>
          <w:p w14:paraId="17E270A9" w14:textId="77777777" w:rsidR="00F62241" w:rsidRDefault="00000000">
            <w:r>
              <w:t>money spent badly — overspend, procurement failures, duplicated spend, sunk costs</w:t>
            </w:r>
          </w:p>
        </w:tc>
        <w:tc>
          <w:tcPr>
            <w:tcW w:w="0" w:type="auto"/>
          </w:tcPr>
          <w:p w14:paraId="6508D4B1" w14:textId="77777777" w:rsidR="00F62241" w:rsidRDefault="00000000">
            <w:r>
              <w:t>your list</w:t>
            </w:r>
          </w:p>
        </w:tc>
      </w:tr>
      <w:tr w:rsidR="00F62241" w14:paraId="46470A4B" w14:textId="77777777">
        <w:tc>
          <w:tcPr>
            <w:tcW w:w="0" w:type="auto"/>
          </w:tcPr>
          <w:p w14:paraId="55886572" w14:textId="77777777" w:rsidR="00F62241" w:rsidRDefault="00000000">
            <w:r>
              <w:rPr>
                <w:b/>
                <w:bCs/>
              </w:rPr>
              <w:t>Operational waste</w:t>
            </w:r>
          </w:p>
        </w:tc>
        <w:tc>
          <w:tcPr>
            <w:tcW w:w="0" w:type="auto"/>
          </w:tcPr>
          <w:p w14:paraId="6CA8B6A7" w14:textId="77777777" w:rsidR="00F62241" w:rsidRDefault="00000000">
            <w:r>
              <w:t>effort/resource consumed for no output — process drag, duplicated work, slow systems</w:t>
            </w:r>
          </w:p>
        </w:tc>
        <w:tc>
          <w:tcPr>
            <w:tcW w:w="0" w:type="auto"/>
          </w:tcPr>
          <w:p w14:paraId="1F74289E" w14:textId="77777777" w:rsidR="00F62241" w:rsidRDefault="00000000">
            <w:r>
              <w:t>your list</w:t>
            </w:r>
          </w:p>
        </w:tc>
      </w:tr>
      <w:tr w:rsidR="00F62241" w14:paraId="2021C426" w14:textId="77777777">
        <w:tc>
          <w:tcPr>
            <w:tcW w:w="0" w:type="auto"/>
          </w:tcPr>
          <w:p w14:paraId="2E62B15E" w14:textId="77777777" w:rsidR="00F62241" w:rsidRDefault="00000000">
            <w:r>
              <w:rPr>
                <w:b/>
                <w:bCs/>
              </w:rPr>
              <w:t>Productivity barriers</w:t>
            </w:r>
          </w:p>
        </w:tc>
        <w:tc>
          <w:tcPr>
            <w:tcW w:w="0" w:type="auto"/>
          </w:tcPr>
          <w:p w14:paraId="1B3B3FFD" w14:textId="77777777" w:rsidR="00F62241" w:rsidRDefault="00000000">
            <w:r>
              <w:t xml:space="preserve">good work actively </w:t>
            </w:r>
            <w:r>
              <w:rPr>
                <w:i/>
                <w:iCs/>
              </w:rPr>
              <w:t>prevented</w:t>
            </w:r>
            <w:r>
              <w:t xml:space="preserve"> — rules, approvals, tooling that stop people doing their job</w:t>
            </w:r>
          </w:p>
        </w:tc>
        <w:tc>
          <w:tcPr>
            <w:tcW w:w="0" w:type="auto"/>
          </w:tcPr>
          <w:p w14:paraId="4B128269" w14:textId="77777777" w:rsidR="00F62241" w:rsidRDefault="00000000">
            <w:r>
              <w:rPr>
                <w:i/>
                <w:iCs/>
              </w:rPr>
              <w:t>distinct from operational waste: waste = effort burned; barrier = output blocked. Different fix (cut vs remove).</w:t>
            </w:r>
          </w:p>
        </w:tc>
      </w:tr>
      <w:tr w:rsidR="00F62241" w14:paraId="7CD89321" w14:textId="77777777">
        <w:tc>
          <w:tcPr>
            <w:tcW w:w="0" w:type="auto"/>
          </w:tcPr>
          <w:p w14:paraId="4A6E9CA7" w14:textId="77777777" w:rsidR="00F62241" w:rsidRDefault="00000000">
            <w:r>
              <w:rPr>
                <w:b/>
                <w:bCs/>
              </w:rPr>
              <w:t>Structural issues</w:t>
            </w:r>
          </w:p>
        </w:tc>
        <w:tc>
          <w:tcPr>
            <w:tcW w:w="0" w:type="auto"/>
          </w:tcPr>
          <w:p w14:paraId="107C8B03" w14:textId="77777777" w:rsidR="00F62241" w:rsidRDefault="00000000">
            <w:r>
              <w:t>org design, accountability gaps, split/unclear responsibility, machinery-of-government</w:t>
            </w:r>
          </w:p>
        </w:tc>
        <w:tc>
          <w:tcPr>
            <w:tcW w:w="0" w:type="auto"/>
          </w:tcPr>
          <w:p w14:paraId="14EDAB7D" w14:textId="77777777" w:rsidR="00F62241" w:rsidRDefault="00000000">
            <w:r>
              <w:t>your list</w:t>
            </w:r>
          </w:p>
        </w:tc>
      </w:tr>
      <w:tr w:rsidR="00F62241" w14:paraId="74115DD9" w14:textId="77777777">
        <w:tc>
          <w:tcPr>
            <w:tcW w:w="0" w:type="auto"/>
          </w:tcPr>
          <w:p w14:paraId="1B914616" w14:textId="77777777" w:rsidR="00F62241" w:rsidRDefault="00000000">
            <w:r>
              <w:rPr>
                <w:b/>
                <w:bCs/>
              </w:rPr>
              <w:t>Cultural issues</w:t>
            </w:r>
          </w:p>
        </w:tc>
        <w:tc>
          <w:tcPr>
            <w:tcW w:w="0" w:type="auto"/>
          </w:tcPr>
          <w:p w14:paraId="2F3A7F74" w14:textId="77777777" w:rsidR="00F62241" w:rsidRDefault="00000000">
            <w:r>
              <w:t>risk aversion, blame culture, defensive decisions, no follow-through</w:t>
            </w:r>
          </w:p>
        </w:tc>
        <w:tc>
          <w:tcPr>
            <w:tcW w:w="0" w:type="auto"/>
          </w:tcPr>
          <w:p w14:paraId="7238473A" w14:textId="77777777" w:rsidR="00F62241" w:rsidRDefault="00000000">
            <w:r>
              <w:t>your list</w:t>
            </w:r>
          </w:p>
        </w:tc>
      </w:tr>
      <w:tr w:rsidR="00F62241" w14:paraId="15D81821" w14:textId="77777777">
        <w:tc>
          <w:tcPr>
            <w:tcW w:w="0" w:type="auto"/>
          </w:tcPr>
          <w:p w14:paraId="594A4FAE" w14:textId="77777777" w:rsidR="00F62241" w:rsidRDefault="00000000">
            <w:r>
              <w:rPr>
                <w:b/>
                <w:bCs/>
              </w:rPr>
              <w:t>Perverse incentives / gaming</w:t>
            </w:r>
          </w:p>
        </w:tc>
        <w:tc>
          <w:tcPr>
            <w:tcW w:w="0" w:type="auto"/>
          </w:tcPr>
          <w:p w14:paraId="12DFBE2D" w14:textId="77777777" w:rsidR="00F62241" w:rsidRDefault="00000000">
            <w:r>
              <w:t>targets distorting behaviour, box-ticking, metrics over outcomes</w:t>
            </w:r>
          </w:p>
        </w:tc>
        <w:tc>
          <w:tcPr>
            <w:tcW w:w="0" w:type="auto"/>
          </w:tcPr>
          <w:p w14:paraId="2C8F7068" w14:textId="77777777" w:rsidR="00F62241" w:rsidRDefault="00000000">
            <w:r>
              <w:rPr>
                <w:i/>
                <w:iCs/>
              </w:rPr>
              <w:t>added — specific and high-value</w:t>
            </w:r>
          </w:p>
        </w:tc>
      </w:tr>
      <w:tr w:rsidR="00F62241" w14:paraId="7F0AF79A" w14:textId="77777777">
        <w:tc>
          <w:tcPr>
            <w:tcW w:w="0" w:type="auto"/>
          </w:tcPr>
          <w:p w14:paraId="1E22755E" w14:textId="77777777" w:rsidR="00F62241" w:rsidRDefault="00000000">
            <w:r>
              <w:rPr>
                <w:b/>
                <w:bCs/>
              </w:rPr>
              <w:t>Policy / implementation failure</w:t>
            </w:r>
          </w:p>
        </w:tc>
        <w:tc>
          <w:tcPr>
            <w:tcW w:w="0" w:type="auto"/>
          </w:tcPr>
          <w:p w14:paraId="2AFD66A6" w14:textId="77777777" w:rsidR="00F62241" w:rsidRDefault="00000000">
            <w:r>
              <w:t>a law or policy not achieving its aim on the ground</w:t>
            </w:r>
          </w:p>
        </w:tc>
        <w:tc>
          <w:tcPr>
            <w:tcW w:w="0" w:type="auto"/>
          </w:tcPr>
          <w:p w14:paraId="5657BD6E" w14:textId="77777777" w:rsidR="00F62241" w:rsidRDefault="00000000">
            <w:r>
              <w:rPr>
                <w:i/>
                <w:iCs/>
              </w:rPr>
              <w:t>added — the most on-mission; feeds the evidence base directly</w:t>
            </w:r>
          </w:p>
        </w:tc>
      </w:tr>
      <w:tr w:rsidR="00F62241" w14:paraId="1D2EDF92" w14:textId="77777777">
        <w:tc>
          <w:tcPr>
            <w:tcW w:w="0" w:type="auto"/>
          </w:tcPr>
          <w:p w14:paraId="62C9DC8F" w14:textId="77777777" w:rsidR="00F62241" w:rsidRDefault="00000000">
            <w:r>
              <w:rPr>
                <w:b/>
                <w:bCs/>
              </w:rPr>
              <w:t>Citizen / business-facing friction</w:t>
            </w:r>
          </w:p>
        </w:tc>
        <w:tc>
          <w:tcPr>
            <w:tcW w:w="0" w:type="auto"/>
          </w:tcPr>
          <w:p w14:paraId="751F3F79" w14:textId="77777777" w:rsidR="00F62241" w:rsidRDefault="00000000">
            <w:r>
              <w:t>the outward failure — "computer says no", forms, delays people experience</w:t>
            </w:r>
          </w:p>
        </w:tc>
        <w:tc>
          <w:tcPr>
            <w:tcW w:w="0" w:type="auto"/>
          </w:tcPr>
          <w:p w14:paraId="4AD309E1" w14:textId="77777777" w:rsidR="00F62241" w:rsidRDefault="00000000">
            <w:r>
              <w:rPr>
                <w:i/>
                <w:iCs/>
              </w:rPr>
              <w:t>added — the public's direct experience, distinct from internal waste</w:t>
            </w:r>
          </w:p>
        </w:tc>
      </w:tr>
      <w:tr w:rsidR="00F62241" w14:paraId="63CBFDCE" w14:textId="77777777">
        <w:tc>
          <w:tcPr>
            <w:tcW w:w="0" w:type="auto"/>
          </w:tcPr>
          <w:p w14:paraId="2A43ADEC" w14:textId="77777777" w:rsidR="00F62241" w:rsidRDefault="00000000">
            <w:r>
              <w:rPr>
                <w:b/>
                <w:bCs/>
              </w:rPr>
              <w:t>★ What works</w:t>
            </w:r>
          </w:p>
        </w:tc>
        <w:tc>
          <w:tcPr>
            <w:tcW w:w="0" w:type="auto"/>
          </w:tcPr>
          <w:p w14:paraId="0173EDF6" w14:textId="77777777" w:rsidR="00F62241" w:rsidRDefault="00000000">
            <w:r>
              <w:t xml:space="preserve">a reform, process, or team that succeeded — and </w:t>
            </w:r>
            <w:r>
              <w:rPr>
                <w:i/>
                <w:iCs/>
              </w:rPr>
              <w:t>why</w:t>
            </w:r>
          </w:p>
        </w:tc>
        <w:tc>
          <w:tcPr>
            <w:tcW w:w="0" w:type="auto"/>
          </w:tcPr>
          <w:p w14:paraId="577CA4D2" w14:textId="77777777" w:rsidR="00F62241" w:rsidRDefault="00000000">
            <w:r>
              <w:rPr>
                <w:i/>
                <w:iCs/>
              </w:rPr>
              <w:t>added — the credibility anchor and the positive-story fuel (§3)</w:t>
            </w:r>
          </w:p>
        </w:tc>
      </w:tr>
    </w:tbl>
    <w:p w14:paraId="486DCB97" w14:textId="77777777" w:rsidR="00F62241" w:rsidRDefault="00000000">
      <w:pPr>
        <w:pStyle w:val="Heading2"/>
      </w:pPr>
      <w:r>
        <w:lastRenderedPageBreak/>
        <w:t>5. The form — the capture schema (the load-bearing technical decision)</w:t>
      </w:r>
    </w:p>
    <w:p w14:paraId="37283E44" w14:textId="77777777" w:rsidR="00F62241" w:rsidRDefault="00000000">
      <w:r>
        <w:rPr>
          <w:b/>
          <w:bCs/>
        </w:rPr>
        <w:t>Free text is unsearchable; structure is the product.</w:t>
      </w:r>
      <w:r>
        <w:t xml:space="preserve"> Each submission captures fixed </w:t>
      </w:r>
      <w:proofErr w:type="gramStart"/>
      <w:r>
        <w:t>fields</w:t>
      </w:r>
      <w:proofErr w:type="gramEnd"/>
      <w:r>
        <w:t xml:space="preserve"> so the corpus is aggregable and feeds the platform (§7):</w:t>
      </w:r>
    </w:p>
    <w:p w14:paraId="1DE98B73" w14:textId="77777777" w:rsidR="00F62241" w:rsidRDefault="00000000">
      <w:pPr>
        <w:numPr>
          <w:ilvl w:val="0"/>
          <w:numId w:val="5"/>
        </w:numPr>
      </w:pPr>
      <w:r>
        <w:rPr>
          <w:b/>
          <w:bCs/>
        </w:rPr>
        <w:t>Category</w:t>
      </w:r>
      <w:r>
        <w:t xml:space="preserve"> (§4, single + optional secondary)</w:t>
      </w:r>
    </w:p>
    <w:p w14:paraId="23977EF7" w14:textId="77777777" w:rsidR="00F62241" w:rsidRDefault="00000000">
      <w:pPr>
        <w:numPr>
          <w:ilvl w:val="0"/>
          <w:numId w:val="5"/>
        </w:numPr>
      </w:pPr>
      <w:r>
        <w:rPr>
          <w:b/>
          <w:bCs/>
        </w:rPr>
        <w:t>Which body / area</w:t>
      </w:r>
      <w:r>
        <w:t xml:space="preserve"> (department, agency, NHS trust, council, programme — controlled list + free)</w:t>
      </w:r>
    </w:p>
    <w:p w14:paraId="05EE8873" w14:textId="77777777" w:rsidR="00F62241" w:rsidRDefault="00000000">
      <w:pPr>
        <w:numPr>
          <w:ilvl w:val="0"/>
          <w:numId w:val="5"/>
        </w:numPr>
      </w:pPr>
      <w:r>
        <w:rPr>
          <w:b/>
          <w:bCs/>
        </w:rPr>
        <w:t>What happened</w:t>
      </w:r>
      <w:r>
        <w:t xml:space="preserve"> (</w:t>
      </w:r>
      <w:proofErr w:type="gramStart"/>
      <w:r>
        <w:t>short structured</w:t>
      </w:r>
      <w:proofErr w:type="gramEnd"/>
      <w:r>
        <w:t xml:space="preserve"> description)</w:t>
      </w:r>
    </w:p>
    <w:p w14:paraId="2AF55887" w14:textId="77777777" w:rsidR="00F62241" w:rsidRDefault="00000000">
      <w:pPr>
        <w:numPr>
          <w:ilvl w:val="0"/>
          <w:numId w:val="5"/>
        </w:numPr>
      </w:pPr>
      <w:r>
        <w:rPr>
          <w:b/>
          <w:bCs/>
        </w:rPr>
        <w:t>Quantification</w:t>
      </w:r>
      <w:r>
        <w:t xml:space="preserve"> (£ / hours / people / </w:t>
      </w:r>
      <w:proofErr w:type="gramStart"/>
      <w:r>
        <w:t>time period</w:t>
      </w:r>
      <w:proofErr w:type="gramEnd"/>
      <w:r>
        <w:t xml:space="preserve"> — optional but prompted; the stat fuels §2)</w:t>
      </w:r>
    </w:p>
    <w:p w14:paraId="21520817" w14:textId="77777777" w:rsidR="00F62241" w:rsidRDefault="00000000">
      <w:pPr>
        <w:numPr>
          <w:ilvl w:val="0"/>
          <w:numId w:val="5"/>
        </w:numPr>
      </w:pPr>
      <w:r>
        <w:rPr>
          <w:b/>
          <w:bCs/>
        </w:rPr>
        <w:t>Outcome / impact</w:t>
      </w:r>
      <w:r>
        <w:t xml:space="preserve"> (what the failure or success produced)</w:t>
      </w:r>
    </w:p>
    <w:p w14:paraId="630D140C" w14:textId="77777777" w:rsidR="00F62241" w:rsidRDefault="00000000">
      <w:pPr>
        <w:numPr>
          <w:ilvl w:val="0"/>
          <w:numId w:val="5"/>
        </w:numPr>
      </w:pPr>
      <w:r>
        <w:rPr>
          <w:b/>
          <w:bCs/>
        </w:rPr>
        <w:t>Evidence</w:t>
      </w:r>
      <w:r>
        <w:t xml:space="preserve"> (link to FOI, document, news, report; or "first-hand, unverified")</w:t>
      </w:r>
    </w:p>
    <w:p w14:paraId="07C70B52" w14:textId="77777777" w:rsidR="00F62241" w:rsidRDefault="00000000">
      <w:pPr>
        <w:numPr>
          <w:ilvl w:val="0"/>
          <w:numId w:val="5"/>
        </w:numPr>
      </w:pPr>
      <w:r>
        <w:rPr>
          <w:b/>
          <w:bCs/>
        </w:rPr>
        <w:t>Time period</w:t>
      </w:r>
      <w:r>
        <w:t xml:space="preserve"> and </w:t>
      </w:r>
      <w:r>
        <w:rPr>
          <w:b/>
          <w:bCs/>
        </w:rPr>
        <w:t>recurring?</w:t>
      </w:r>
      <w:r>
        <w:t xml:space="preserve"> (one-off vs systemic)</w:t>
      </w:r>
    </w:p>
    <w:p w14:paraId="7A09FF09" w14:textId="77777777" w:rsidR="00F62241" w:rsidRDefault="00000000">
      <w:pPr>
        <w:numPr>
          <w:ilvl w:val="0"/>
          <w:numId w:val="5"/>
        </w:numPr>
      </w:pPr>
      <w:r>
        <w:rPr>
          <w:b/>
          <w:bCs/>
        </w:rPr>
        <w:t>Consent level</w:t>
      </w:r>
      <w:r>
        <w:t xml:space="preserve"> (§6) and </w:t>
      </w:r>
      <w:r>
        <w:rPr>
          <w:b/>
          <w:bCs/>
        </w:rPr>
        <w:t>contact</w:t>
      </w:r>
      <w:r>
        <w:t xml:space="preserve"> (optional, for follow-up)</w:t>
      </w:r>
    </w:p>
    <w:p w14:paraId="6C89E996" w14:textId="77777777" w:rsidR="00F62241" w:rsidRDefault="00000000">
      <w:pPr>
        <w:numPr>
          <w:ilvl w:val="0"/>
          <w:numId w:val="5"/>
        </w:numPr>
      </w:pPr>
      <w:r>
        <w:rPr>
          <w:b/>
          <w:bCs/>
        </w:rPr>
        <w:t>Submitter type</w:t>
      </w:r>
      <w:r>
        <w:t xml:space="preserve"> (insider / affected public / observer) — never published; used for weighting</w:t>
      </w:r>
    </w:p>
    <w:p w14:paraId="01D3204C" w14:textId="77777777" w:rsidR="00F62241" w:rsidRDefault="00000000">
      <w:r>
        <w:t>A short, well-designed form with good defaults beats a long one; quantification and evidence are the two fields that turn a complaint into a usable data point, so prompt for them gently.</w:t>
      </w:r>
    </w:p>
    <w:p w14:paraId="1B8AC061" w14:textId="77777777" w:rsidR="00F62241" w:rsidRDefault="00F62241">
      <w:pPr>
        <w:pBdr>
          <w:bottom w:val="single" w:sz="6" w:space="0" w:color="000000"/>
        </w:pBdr>
      </w:pPr>
    </w:p>
    <w:p w14:paraId="350308A2" w14:textId="77777777" w:rsidR="00F62241" w:rsidRDefault="00F62241"/>
    <w:p w14:paraId="506EEC98" w14:textId="77777777" w:rsidR="00F62241" w:rsidRDefault="00000000">
      <w:pPr>
        <w:pStyle w:val="Heading2"/>
      </w:pPr>
      <w:r>
        <w:t>6. Consent — nothing public without permission (tiered)</w:t>
      </w:r>
    </w:p>
    <w:p w14:paraId="4A775078" w14:textId="77777777" w:rsidR="00F62241" w:rsidRDefault="00000000">
      <w:r>
        <w:t>Default to the most private; publication is an explicit opt-in, per submission:</w:t>
      </w:r>
    </w:p>
    <w:p w14:paraId="5E56EFD9" w14:textId="77777777" w:rsidR="00F62241" w:rsidRDefault="00000000">
      <w:pPr>
        <w:numPr>
          <w:ilvl w:val="0"/>
          <w:numId w:val="6"/>
        </w:numPr>
      </w:pPr>
      <w:r>
        <w:rPr>
          <w:b/>
          <w:bCs/>
        </w:rPr>
        <w:t>Private</w:t>
      </w:r>
      <w:r>
        <w:t xml:space="preserve"> — internal analysis only, never shown.</w:t>
      </w:r>
    </w:p>
    <w:p w14:paraId="483C3305" w14:textId="77777777" w:rsidR="00F62241" w:rsidRDefault="00000000">
      <w:pPr>
        <w:numPr>
          <w:ilvl w:val="0"/>
          <w:numId w:val="6"/>
        </w:numPr>
      </w:pPr>
      <w:r>
        <w:rPr>
          <w:b/>
          <w:bCs/>
        </w:rPr>
        <w:t>Anonymised aggregate</w:t>
      </w:r>
      <w:r>
        <w:t xml:space="preserve"> — counted in stats/patterns, never quoted.</w:t>
      </w:r>
    </w:p>
    <w:p w14:paraId="487E22D4" w14:textId="77777777" w:rsidR="00F62241" w:rsidRDefault="00000000">
      <w:pPr>
        <w:numPr>
          <w:ilvl w:val="0"/>
          <w:numId w:val="6"/>
        </w:numPr>
      </w:pPr>
      <w:r>
        <w:rPr>
          <w:b/>
          <w:bCs/>
        </w:rPr>
        <w:t>Anonymised public</w:t>
      </w:r>
      <w:r>
        <w:t xml:space="preserve"> — may be quoted/published with identifying detail removed.</w:t>
      </w:r>
    </w:p>
    <w:p w14:paraId="2A0AFAF4" w14:textId="77777777" w:rsidR="00F62241" w:rsidRDefault="00000000">
      <w:pPr>
        <w:numPr>
          <w:ilvl w:val="0"/>
          <w:numId w:val="6"/>
        </w:numPr>
      </w:pPr>
      <w:r>
        <w:rPr>
          <w:b/>
          <w:bCs/>
        </w:rPr>
        <w:t>Attributed public</w:t>
      </w:r>
      <w:r>
        <w:t xml:space="preserve"> — may be published with attribution (explicit, rare).</w:t>
      </w:r>
    </w:p>
    <w:p w14:paraId="024A379D" w14:textId="77777777" w:rsidR="00F62241" w:rsidRDefault="00000000">
      <w:r>
        <w:lastRenderedPageBreak/>
        <w:t>Default = 1–2. Publication (3–4) requires the submitter's active choice. State the consent model plainly on the form; it is also what makes insiders willing to contribute.</w:t>
      </w:r>
    </w:p>
    <w:p w14:paraId="744434C2" w14:textId="77777777" w:rsidR="00F62241" w:rsidRDefault="00F62241">
      <w:pPr>
        <w:pBdr>
          <w:bottom w:val="single" w:sz="6" w:space="0" w:color="000000"/>
        </w:pBdr>
      </w:pPr>
    </w:p>
    <w:p w14:paraId="77A8F58E" w14:textId="77777777" w:rsidR="00F62241" w:rsidRDefault="00F62241"/>
    <w:p w14:paraId="27E13BE7" w14:textId="77777777" w:rsidR="00F62241" w:rsidRDefault="00000000">
      <w:pPr>
        <w:pStyle w:val="Heading2"/>
      </w:pPr>
      <w:r>
        <w:t>7. How it feeds the platform</w:t>
      </w:r>
    </w:p>
    <w:p w14:paraId="06C3D561" w14:textId="77777777" w:rsidR="00F62241" w:rsidRDefault="00000000">
      <w:r>
        <w:t xml:space="preserve">Structured submissions become a </w:t>
      </w:r>
      <w:r>
        <w:rPr>
          <w:b/>
          <w:bCs/>
        </w:rPr>
        <w:t>corpus</w:t>
      </w:r>
      <w:r>
        <w:t xml:space="preserve"> that plugs into:</w:t>
      </w:r>
    </w:p>
    <w:p w14:paraId="21DD9027" w14:textId="77777777" w:rsidR="00F62241" w:rsidRDefault="00000000">
      <w:pPr>
        <w:numPr>
          <w:ilvl w:val="0"/>
          <w:numId w:val="7"/>
        </w:numPr>
      </w:pPr>
      <w:r>
        <w:t xml:space="preserve">the </w:t>
      </w:r>
      <w:r>
        <w:rPr>
          <w:b/>
          <w:bCs/>
        </w:rPr>
        <w:t>institutional-outcome / failure-pattern graph</w:t>
      </w:r>
      <w:r>
        <w:t xml:space="preserve"> (</w:t>
      </w:r>
      <w:r>
        <w:rPr>
          <w:rStyle w:val="VerbatimChar"/>
        </w:rPr>
        <w:t>SEARCH_STRATEGY.md</w:t>
      </w:r>
      <w:r>
        <w:t xml:space="preserve"> §9.5) — body → failure-mode → outcome, making historical failure a </w:t>
      </w:r>
      <w:r>
        <w:rPr>
          <w:i/>
          <w:iCs/>
        </w:rPr>
        <w:t>predictive</w:t>
      </w:r>
      <w:r>
        <w:t xml:space="preserve"> risk signal for new policy;</w:t>
      </w:r>
    </w:p>
    <w:p w14:paraId="4BEFFE8F" w14:textId="77777777" w:rsidR="00F62241" w:rsidRDefault="00000000">
      <w:pPr>
        <w:numPr>
          <w:ilvl w:val="0"/>
          <w:numId w:val="7"/>
        </w:numPr>
      </w:pPr>
      <w:r>
        <w:t xml:space="preserve">the </w:t>
      </w:r>
      <w:r>
        <w:rPr>
          <w:b/>
          <w:bCs/>
        </w:rPr>
        <w:t>principle-retrieval streams</w:t>
      </w:r>
      <w:r>
        <w:t xml:space="preserve"> (§3.1) — transferable patterns of how implementation fails;</w:t>
      </w:r>
    </w:p>
    <w:p w14:paraId="51059E59" w14:textId="77777777" w:rsidR="00F62241" w:rsidRDefault="00000000">
      <w:pPr>
        <w:numPr>
          <w:ilvl w:val="0"/>
          <w:numId w:val="7"/>
        </w:numPr>
      </w:pPr>
      <w:r>
        <w:t xml:space="preserve">the public </w:t>
      </w:r>
      <w:r>
        <w:rPr>
          <w:b/>
          <w:bCs/>
        </w:rPr>
        <w:t>evidence resource</w:t>
      </w:r>
      <w:r>
        <w:t xml:space="preserve"> — aggregated, anonymised stats as a credibility/PR asset.</w:t>
      </w:r>
    </w:p>
    <w:p w14:paraId="5F989379" w14:textId="77777777" w:rsidR="00F62241" w:rsidRDefault="00000000">
      <w:r>
        <w:t xml:space="preserve">This is also why the schema matters: the graph and streams can only use </w:t>
      </w:r>
      <w:r>
        <w:rPr>
          <w:i/>
          <w:iCs/>
        </w:rPr>
        <w:t>structured</w:t>
      </w:r>
      <w:r>
        <w:t xml:space="preserve"> fields.</w:t>
      </w:r>
    </w:p>
    <w:p w14:paraId="7B5E6C4F" w14:textId="77777777" w:rsidR="00F62241" w:rsidRDefault="00F62241">
      <w:pPr>
        <w:pBdr>
          <w:bottom w:val="single" w:sz="6" w:space="0" w:color="000000"/>
        </w:pBdr>
      </w:pPr>
    </w:p>
    <w:p w14:paraId="706E0D5B" w14:textId="77777777" w:rsidR="00F62241" w:rsidRDefault="00F62241"/>
    <w:p w14:paraId="4903433C" w14:textId="77777777" w:rsidR="00F62241" w:rsidRDefault="00000000">
      <w:pPr>
        <w:pStyle w:val="Heading2"/>
      </w:pPr>
      <w:r>
        <w:t>8. Verification &amp; moderation</w:t>
      </w:r>
    </w:p>
    <w:p w14:paraId="1D373349" w14:textId="77777777" w:rsidR="00F62241" w:rsidRDefault="00000000">
      <w:r>
        <w:t>Crowd-sourced claims are unverified and unusable raw. Minimum pipeline:</w:t>
      </w:r>
    </w:p>
    <w:p w14:paraId="69B72CDE" w14:textId="77777777" w:rsidR="00F62241" w:rsidRDefault="00000000">
      <w:pPr>
        <w:numPr>
          <w:ilvl w:val="0"/>
          <w:numId w:val="8"/>
        </w:numPr>
      </w:pPr>
      <w:r>
        <w:rPr>
          <w:b/>
          <w:bCs/>
        </w:rPr>
        <w:t>Triage queue</w:t>
      </w:r>
      <w:r>
        <w:t xml:space="preserve"> — sort, deduplicate, categorise.</w:t>
      </w:r>
    </w:p>
    <w:p w14:paraId="33412714" w14:textId="77777777" w:rsidR="00F62241" w:rsidRDefault="00000000">
      <w:pPr>
        <w:numPr>
          <w:ilvl w:val="0"/>
          <w:numId w:val="8"/>
        </w:numPr>
      </w:pPr>
      <w:r>
        <w:rPr>
          <w:b/>
          <w:bCs/>
        </w:rPr>
        <w:t>Corroboration</w:t>
      </w:r>
      <w:r>
        <w:t xml:space="preserve"> — match to FOI, documents, news, official reports; tag </w:t>
      </w:r>
      <w:r>
        <w:rPr>
          <w:b/>
          <w:bCs/>
        </w:rPr>
        <w:t>confidence</w:t>
      </w:r>
      <w:r>
        <w:t xml:space="preserve"> (uncorroborated / partially / corroborated).</w:t>
      </w:r>
    </w:p>
    <w:p w14:paraId="6584E95A" w14:textId="77777777" w:rsidR="00F62241" w:rsidRDefault="00000000">
      <w:pPr>
        <w:numPr>
          <w:ilvl w:val="0"/>
          <w:numId w:val="8"/>
        </w:numPr>
      </w:pPr>
      <w:r>
        <w:rPr>
          <w:b/>
          <w:bCs/>
        </w:rPr>
        <w:t>Publication gate</w:t>
      </w:r>
      <w:r>
        <w:t xml:space="preserve"> — only corroborated + consented items inform a story; the bar for </w:t>
      </w:r>
      <w:r>
        <w:rPr>
          <w:i/>
          <w:iCs/>
        </w:rPr>
        <w:t>anything named</w:t>
      </w:r>
      <w:r>
        <w:t xml:space="preserve"> is higher than for aggregate stats.</w:t>
      </w:r>
    </w:p>
    <w:p w14:paraId="36F91FA7" w14:textId="77777777" w:rsidR="00F62241" w:rsidRDefault="00000000">
      <w:r>
        <w:t xml:space="preserve">This is </w:t>
      </w:r>
      <w:r>
        <w:rPr>
          <w:b/>
          <w:bCs/>
        </w:rPr>
        <w:t>ongoing work</w:t>
      </w:r>
      <w:r>
        <w:t>, not a one-off — weigh the moderation load against your time before launching at scale.</w:t>
      </w:r>
    </w:p>
    <w:p w14:paraId="0E400A1C" w14:textId="77777777" w:rsidR="00F62241" w:rsidRDefault="00F62241">
      <w:pPr>
        <w:pBdr>
          <w:bottom w:val="single" w:sz="6" w:space="0" w:color="000000"/>
        </w:pBdr>
      </w:pPr>
    </w:p>
    <w:p w14:paraId="49D08FBD" w14:textId="77777777" w:rsidR="00F62241" w:rsidRDefault="00F62241"/>
    <w:p w14:paraId="61272F02" w14:textId="77777777" w:rsidR="00F62241" w:rsidRDefault="00000000">
      <w:pPr>
        <w:pStyle w:val="Heading2"/>
      </w:pPr>
      <w:r>
        <w:t>9. Legal &amp; ethical (get advice before launch)</w:t>
      </w:r>
    </w:p>
    <w:p w14:paraId="37434867" w14:textId="77777777" w:rsidR="00F62241" w:rsidRDefault="00000000">
      <w:r>
        <w:t>Real risk surface; flagging, not advising — take proper legal counsel:</w:t>
      </w:r>
    </w:p>
    <w:p w14:paraId="2B3D67BE" w14:textId="77777777" w:rsidR="00F62241" w:rsidRDefault="00000000">
      <w:pPr>
        <w:numPr>
          <w:ilvl w:val="0"/>
          <w:numId w:val="9"/>
        </w:numPr>
      </w:pPr>
      <w:r>
        <w:rPr>
          <w:b/>
          <w:bCs/>
        </w:rPr>
        <w:t>Defamation</w:t>
      </w:r>
      <w:r>
        <w:t xml:space="preserve"> — specific allegations about named bodies or individuals carry liability; corroboration + careful publication policy + the consent gate </w:t>
      </w:r>
      <w:proofErr w:type="gramStart"/>
      <w:r>
        <w:t>mitigate</w:t>
      </w:r>
      <w:proofErr w:type="gramEnd"/>
      <w:r>
        <w:t xml:space="preserve"> but do not remove it.</w:t>
      </w:r>
    </w:p>
    <w:p w14:paraId="6DC1B312" w14:textId="77777777" w:rsidR="00F62241" w:rsidRDefault="00000000">
      <w:pPr>
        <w:numPr>
          <w:ilvl w:val="0"/>
          <w:numId w:val="9"/>
        </w:numPr>
      </w:pPr>
      <w:r>
        <w:rPr>
          <w:b/>
          <w:bCs/>
        </w:rPr>
        <w:t>Data protection</w:t>
      </w:r>
      <w:r>
        <w:t xml:space="preserve"> — submissions may contain personal data (the submitter's and third parties'); needs a lawful basis, retention policy, and a way to honour deletion.</w:t>
      </w:r>
    </w:p>
    <w:p w14:paraId="3AFFAB95" w14:textId="77777777" w:rsidR="00F62241" w:rsidRDefault="00000000">
      <w:pPr>
        <w:numPr>
          <w:ilvl w:val="0"/>
          <w:numId w:val="9"/>
        </w:numPr>
      </w:pPr>
      <w:r>
        <w:rPr>
          <w:b/>
          <w:bCs/>
        </w:rPr>
        <w:t>Whistleblower exposure</w:t>
      </w:r>
      <w:r>
        <w:t xml:space="preserve"> — insiders submitting about their own employer must be protected (anonymity by default, no retaliation surface); this is both an ethical duty and a trust factor.</w:t>
      </w:r>
    </w:p>
    <w:p w14:paraId="7D663849" w14:textId="77777777" w:rsidR="00F62241" w:rsidRDefault="00F62241">
      <w:pPr>
        <w:pBdr>
          <w:bottom w:val="single" w:sz="6" w:space="0" w:color="000000"/>
        </w:pBdr>
      </w:pPr>
    </w:p>
    <w:p w14:paraId="558A3B75" w14:textId="77777777" w:rsidR="00F62241" w:rsidRDefault="00F62241"/>
    <w:p w14:paraId="3317E9EC" w14:textId="77777777" w:rsidR="00F62241" w:rsidRDefault="00000000">
      <w:pPr>
        <w:pStyle w:val="Heading2"/>
      </w:pPr>
      <w:r>
        <w:t>10. Phasing &amp; resourcing</w:t>
      </w:r>
    </w:p>
    <w:p w14:paraId="3775C439" w14:textId="77777777" w:rsidR="00F62241" w:rsidRDefault="00000000">
      <w:pPr>
        <w:numPr>
          <w:ilvl w:val="0"/>
          <w:numId w:val="10"/>
        </w:numPr>
      </w:pPr>
      <w:r>
        <w:rPr>
          <w:b/>
          <w:bCs/>
        </w:rPr>
        <w:t>Design now</w:t>
      </w:r>
      <w:r>
        <w:t xml:space="preserve"> — schema, categories, consent, the triage pipeline; legal review. Cheap.</w:t>
      </w:r>
    </w:p>
    <w:p w14:paraId="3BF58F1B" w14:textId="77777777" w:rsidR="00F62241" w:rsidRDefault="00000000">
      <w:pPr>
        <w:numPr>
          <w:ilvl w:val="0"/>
          <w:numId w:val="10"/>
        </w:numPr>
      </w:pPr>
      <w:r>
        <w:rPr>
          <w:b/>
          <w:bCs/>
        </w:rPr>
        <w:t>Pilot narrow</w:t>
      </w:r>
      <w:r>
        <w:t xml:space="preserve"> — one or two categories, a bounded ask, manual triage; prove the flywheel and the verification work at small scale before scaling.</w:t>
      </w:r>
    </w:p>
    <w:p w14:paraId="567FD4D3" w14:textId="77777777" w:rsidR="00F62241" w:rsidRDefault="00000000">
      <w:pPr>
        <w:numPr>
          <w:ilvl w:val="0"/>
          <w:numId w:val="10"/>
        </w:numPr>
      </w:pPr>
      <w:r>
        <w:rPr>
          <w:b/>
          <w:bCs/>
        </w:rPr>
        <w:t>Build into the platform</w:t>
      </w:r>
      <w:r>
        <w:t xml:space="preserve"> — once the core platform gives the corpus somewhere to plug in (§7) and there is moderation + legal capacity.</w:t>
      </w:r>
    </w:p>
    <w:p w14:paraId="01149094" w14:textId="77777777" w:rsidR="00F62241" w:rsidRDefault="00000000">
      <w:pPr>
        <w:numPr>
          <w:ilvl w:val="0"/>
          <w:numId w:val="10"/>
        </w:numPr>
      </w:pPr>
      <w:r>
        <w:rPr>
          <w:b/>
          <w:bCs/>
        </w:rPr>
        <w:t>Scale via the flywheel</w:t>
      </w:r>
      <w:r>
        <w:t xml:space="preserve"> (§2) — each verified finding seeds a story that draws the next wave.</w:t>
      </w:r>
    </w:p>
    <w:p w14:paraId="0CFB1CCA" w14:textId="77777777" w:rsidR="00F62241" w:rsidRDefault="00000000">
      <w:r>
        <w:t xml:space="preserve">Sequence </w:t>
      </w:r>
      <w:r>
        <w:rPr>
          <w:b/>
          <w:bCs/>
        </w:rPr>
        <w:t>after</w:t>
      </w:r>
      <w:r>
        <w:t xml:space="preserve"> the core platform. The honest constraint is recurring moderation, verification, and legal effort — which competes with your time and the build. Design it now as vision; switch it on when there is capacity to run it well.</w:t>
      </w:r>
    </w:p>
    <w:p w14:paraId="188C2C81" w14:textId="77777777" w:rsidR="00F62241" w:rsidRDefault="00F62241">
      <w:pPr>
        <w:pBdr>
          <w:bottom w:val="single" w:sz="6" w:space="0" w:color="000000"/>
        </w:pBdr>
      </w:pPr>
    </w:p>
    <w:p w14:paraId="54941BE7" w14:textId="77777777" w:rsidR="00F62241" w:rsidRDefault="00F62241"/>
    <w:p w14:paraId="50FF569B" w14:textId="77777777" w:rsidR="00F62241" w:rsidRDefault="00000000">
      <w:pPr>
        <w:pStyle w:val="Heading2"/>
      </w:pPr>
      <w:r>
        <w:lastRenderedPageBreak/>
        <w:t>11. Risks &amp; mitigations (summary)</w:t>
      </w:r>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815"/>
        <w:gridCol w:w="5629"/>
      </w:tblGrid>
      <w:tr w:rsidR="00F62241" w14:paraId="7506A54B" w14:textId="77777777">
        <w:tc>
          <w:tcPr>
            <w:tcW w:w="0" w:type="auto"/>
          </w:tcPr>
          <w:p w14:paraId="6EAA46D5" w14:textId="77777777" w:rsidR="00F62241" w:rsidRDefault="00000000">
            <w:r>
              <w:t>Risk</w:t>
            </w:r>
          </w:p>
        </w:tc>
        <w:tc>
          <w:tcPr>
            <w:tcW w:w="0" w:type="auto"/>
          </w:tcPr>
          <w:p w14:paraId="156C4102" w14:textId="77777777" w:rsidR="00F62241" w:rsidRDefault="00000000">
            <w:r>
              <w:t>Mitigation</w:t>
            </w:r>
          </w:p>
        </w:tc>
      </w:tr>
      <w:tr w:rsidR="00F62241" w14:paraId="30328342" w14:textId="77777777">
        <w:tc>
          <w:tcPr>
            <w:tcW w:w="0" w:type="auto"/>
          </w:tcPr>
          <w:p w14:paraId="1B001799" w14:textId="77777777" w:rsidR="00F62241" w:rsidRDefault="00000000">
            <w:r>
              <w:t>Becomes a grievance dump</w:t>
            </w:r>
          </w:p>
        </w:tc>
        <w:tc>
          <w:tcPr>
            <w:tcW w:w="0" w:type="auto"/>
          </w:tcPr>
          <w:p w14:paraId="6D960B0A" w14:textId="77777777" w:rsidR="00F62241" w:rsidRDefault="00000000">
            <w:r>
              <w:t>constructive framing §3; collect "what works"; structured schema §5</w:t>
            </w:r>
          </w:p>
        </w:tc>
      </w:tr>
      <w:tr w:rsidR="00F62241" w14:paraId="6BC63586" w14:textId="77777777">
        <w:tc>
          <w:tcPr>
            <w:tcW w:w="0" w:type="auto"/>
          </w:tcPr>
          <w:p w14:paraId="1CE241F0" w14:textId="77777777" w:rsidR="00F62241" w:rsidRDefault="00000000">
            <w:r>
              <w:t>Alienates the insiders you need</w:t>
            </w:r>
          </w:p>
        </w:tc>
        <w:tc>
          <w:tcPr>
            <w:tcW w:w="0" w:type="auto"/>
          </w:tcPr>
          <w:p w14:paraId="2F084830" w14:textId="77777777" w:rsidR="00F62241" w:rsidRDefault="00000000">
            <w:r>
              <w:t>positive non-partisan framing; whistleblower protection §9</w:t>
            </w:r>
          </w:p>
        </w:tc>
      </w:tr>
      <w:tr w:rsidR="00F62241" w14:paraId="43921A12" w14:textId="77777777">
        <w:tc>
          <w:tcPr>
            <w:tcW w:w="0" w:type="auto"/>
          </w:tcPr>
          <w:p w14:paraId="2E003896" w14:textId="77777777" w:rsidR="00F62241" w:rsidRDefault="00000000">
            <w:r>
              <w:t>Unverifiable / false claims</w:t>
            </w:r>
          </w:p>
        </w:tc>
        <w:tc>
          <w:tcPr>
            <w:tcW w:w="0" w:type="auto"/>
          </w:tcPr>
          <w:p w14:paraId="5987A357" w14:textId="77777777" w:rsidR="00F62241" w:rsidRDefault="00000000">
            <w:r>
              <w:t>triage + corroboration + confidence tags §8; publication gate</w:t>
            </w:r>
          </w:p>
        </w:tc>
      </w:tr>
      <w:tr w:rsidR="00F62241" w14:paraId="60293ED0" w14:textId="77777777">
        <w:tc>
          <w:tcPr>
            <w:tcW w:w="0" w:type="auto"/>
          </w:tcPr>
          <w:p w14:paraId="56FEF9BB" w14:textId="77777777" w:rsidR="00F62241" w:rsidRDefault="00000000">
            <w:r>
              <w:t>Legal liability</w:t>
            </w:r>
          </w:p>
        </w:tc>
        <w:tc>
          <w:tcPr>
            <w:tcW w:w="0" w:type="auto"/>
          </w:tcPr>
          <w:p w14:paraId="0EBF68EF" w14:textId="77777777" w:rsidR="00F62241" w:rsidRDefault="00000000">
            <w:r>
              <w:t>consent gate §6; legal review §9; higher bar for anything named</w:t>
            </w:r>
          </w:p>
        </w:tc>
      </w:tr>
      <w:tr w:rsidR="00F62241" w14:paraId="28667C9C" w14:textId="77777777">
        <w:tc>
          <w:tcPr>
            <w:tcW w:w="0" w:type="auto"/>
          </w:tcPr>
          <w:p w14:paraId="295B8EED" w14:textId="77777777" w:rsidR="00F62241" w:rsidRDefault="00000000">
            <w:r>
              <w:t>Moderation overwhelms you</w:t>
            </w:r>
          </w:p>
        </w:tc>
        <w:tc>
          <w:tcPr>
            <w:tcW w:w="0" w:type="auto"/>
          </w:tcPr>
          <w:p w14:paraId="3886DA03" w14:textId="77777777" w:rsidR="00F62241" w:rsidRDefault="00000000">
            <w:r>
              <w:t>pilot narrow §10; scale only with capacity</w:t>
            </w:r>
          </w:p>
        </w:tc>
      </w:tr>
      <w:tr w:rsidR="00F62241" w14:paraId="1343F01E" w14:textId="77777777">
        <w:tc>
          <w:tcPr>
            <w:tcW w:w="0" w:type="auto"/>
          </w:tcPr>
          <w:p w14:paraId="7EC72623" w14:textId="77777777" w:rsidR="00F62241" w:rsidRDefault="00000000">
            <w:r>
              <w:t>Free-text data is unsearchable</w:t>
            </w:r>
          </w:p>
        </w:tc>
        <w:tc>
          <w:tcPr>
            <w:tcW w:w="0" w:type="auto"/>
          </w:tcPr>
          <w:p w14:paraId="390F1922" w14:textId="77777777" w:rsidR="00F62241" w:rsidRDefault="00000000">
            <w:r>
              <w:t>structured capture schema §5 (designed before any channel opens)</w:t>
            </w:r>
          </w:p>
        </w:tc>
      </w:tr>
    </w:tbl>
    <w:p w14:paraId="305F5C4E" w14:textId="77777777" w:rsidR="00EB48DB" w:rsidRDefault="00EB48DB"/>
    <w:sectPr w:rsidR="00EB48D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937"/>
    <w:multiLevelType w:val="multilevel"/>
    <w:tmpl w:val="0B60E43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 w15:restartNumberingAfterBreak="0">
    <w:nsid w:val="034632A4"/>
    <w:multiLevelType w:val="multilevel"/>
    <w:tmpl w:val="DF0A09F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04AD102F"/>
    <w:multiLevelType w:val="multilevel"/>
    <w:tmpl w:val="07604CF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3" w15:restartNumberingAfterBreak="0">
    <w:nsid w:val="11DD0047"/>
    <w:multiLevelType w:val="multilevel"/>
    <w:tmpl w:val="8C507E5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4" w15:restartNumberingAfterBreak="0">
    <w:nsid w:val="25C521DA"/>
    <w:multiLevelType w:val="multilevel"/>
    <w:tmpl w:val="B0F6707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279E24D2"/>
    <w:multiLevelType w:val="multilevel"/>
    <w:tmpl w:val="9E92D070"/>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6" w15:restartNumberingAfterBreak="0">
    <w:nsid w:val="2FE63E3E"/>
    <w:multiLevelType w:val="multilevel"/>
    <w:tmpl w:val="23CC9EC0"/>
    <w:lvl w:ilvl="0">
      <w:start w:val="1"/>
      <w:numFmt w:val="bullet"/>
      <w:lvlText w:val=" "/>
      <w:lvlJc w:val="left"/>
      <w:pPr>
        <w:ind w:left="480" w:right="0" w:hanging="480"/>
      </w:pPr>
    </w:lvl>
    <w:lvl w:ilvl="1">
      <w:start w:val="1"/>
      <w:numFmt w:val="bullet"/>
      <w:lvlText w:val=" "/>
      <w:lvlJc w:val="left"/>
      <w:pPr>
        <w:ind w:left="1200" w:right="0" w:hanging="480"/>
      </w:pPr>
    </w:lvl>
    <w:lvl w:ilvl="2">
      <w:start w:val="1"/>
      <w:numFmt w:val="bullet"/>
      <w:lvlText w:val=" "/>
      <w:lvlJc w:val="left"/>
      <w:pPr>
        <w:ind w:left="1920" w:right="0" w:hanging="480"/>
      </w:pPr>
    </w:lvl>
    <w:lvl w:ilvl="3">
      <w:start w:val="1"/>
      <w:numFmt w:val="bullet"/>
      <w:lvlText w:val=" "/>
      <w:lvlJc w:val="left"/>
      <w:pPr>
        <w:ind w:left="2640" w:right="0" w:hanging="480"/>
      </w:pPr>
    </w:lvl>
    <w:lvl w:ilvl="4">
      <w:start w:val="1"/>
      <w:numFmt w:val="bullet"/>
      <w:lvlText w:val=" "/>
      <w:lvlJc w:val="left"/>
      <w:pPr>
        <w:ind w:left="3360" w:right="0" w:hanging="480"/>
      </w:pPr>
    </w:lvl>
    <w:lvl w:ilvl="5">
      <w:start w:val="1"/>
      <w:numFmt w:val="bullet"/>
      <w:lvlText w:val=" "/>
      <w:lvlJc w:val="left"/>
      <w:pPr>
        <w:ind w:left="4080" w:right="0" w:hanging="480"/>
      </w:pPr>
    </w:lvl>
    <w:lvl w:ilvl="6">
      <w:start w:val="1"/>
      <w:numFmt w:val="bullet"/>
      <w:lvlText w:val=" "/>
      <w:lvlJc w:val="left"/>
      <w:pPr>
        <w:ind w:left="4800" w:right="0" w:hanging="480"/>
      </w:pPr>
    </w:lvl>
    <w:lvl w:ilvl="7">
      <w:start w:val="1"/>
      <w:numFmt w:val="bullet"/>
      <w:lvlText w:val=" "/>
      <w:lvlJc w:val="left"/>
      <w:pPr>
        <w:ind w:left="5520" w:right="0" w:hanging="480"/>
      </w:pPr>
    </w:lvl>
    <w:lvl w:ilvl="8">
      <w:start w:val="1"/>
      <w:numFmt w:val="bullet"/>
      <w:lvlText w:val=" "/>
      <w:lvlJc w:val="left"/>
      <w:pPr>
        <w:ind w:left="6240" w:right="0" w:hanging="480"/>
      </w:pPr>
    </w:lvl>
  </w:abstractNum>
  <w:abstractNum w:abstractNumId="7" w15:restartNumberingAfterBreak="0">
    <w:nsid w:val="43706E20"/>
    <w:multiLevelType w:val="multilevel"/>
    <w:tmpl w:val="168672D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8" w15:restartNumberingAfterBreak="0">
    <w:nsid w:val="472937AF"/>
    <w:multiLevelType w:val="multilevel"/>
    <w:tmpl w:val="0AAEFE3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78147118"/>
    <w:multiLevelType w:val="multilevel"/>
    <w:tmpl w:val="F2346FF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num w:numId="1" w16cid:durableId="11998265">
    <w:abstractNumId w:val="5"/>
  </w:num>
  <w:num w:numId="2" w16cid:durableId="1087193275">
    <w:abstractNumId w:val="9"/>
  </w:num>
  <w:num w:numId="3" w16cid:durableId="693117924">
    <w:abstractNumId w:val="6"/>
  </w:num>
  <w:num w:numId="4" w16cid:durableId="1751779615">
    <w:abstractNumId w:val="2"/>
  </w:num>
  <w:num w:numId="5" w16cid:durableId="1277642441">
    <w:abstractNumId w:val="7"/>
  </w:num>
  <w:num w:numId="6" w16cid:durableId="2114786582">
    <w:abstractNumId w:val="3"/>
  </w:num>
  <w:num w:numId="7" w16cid:durableId="654997138">
    <w:abstractNumId w:val="1"/>
  </w:num>
  <w:num w:numId="8" w16cid:durableId="2100707751">
    <w:abstractNumId w:val="8"/>
  </w:num>
  <w:num w:numId="9" w16cid:durableId="1328284774">
    <w:abstractNumId w:val="4"/>
  </w:num>
  <w:num w:numId="10" w16cid:durableId="892617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0tDAyNDW2MLQwMzdQ0lEKTi0uzszPAykwrAUAF89mYywAAAA="/>
  </w:docVars>
  <w:rsids>
    <w:rsidRoot w:val="00F62241"/>
    <w:rsid w:val="00482D41"/>
    <w:rsid w:val="00A34B76"/>
    <w:rsid w:val="00EB48DB"/>
    <w:rsid w:val="00F622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41A2F"/>
  <w15:docId w15:val="{9EB1D1AC-860B-40BD-B160-41E41E4C0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GB"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spacing w:before="480" w:after="0"/>
      <w:outlineLvl w:val="0"/>
    </w:pPr>
    <w:rPr>
      <w:rFonts w:asciiTheme="majorHAnsi" w:eastAsiaTheme="majorEastAsia" w:hAnsiTheme="majorHAnsi" w:cstheme="majorBidi"/>
      <w:color w:val="4F81BD"/>
      <w:sz w:val="32"/>
      <w:szCs w:val="32"/>
    </w:rPr>
  </w:style>
  <w:style w:type="paragraph" w:styleId="Heading2">
    <w:name w:val="heading 2"/>
    <w:basedOn w:val="Normal"/>
    <w:next w:val="BodyText"/>
    <w:uiPriority w:val="9"/>
    <w:unhideWhenUsed/>
    <w:qFormat/>
    <w:pPr>
      <w:spacing w:before="200" w:after="0"/>
      <w:outlineLvl w:val="1"/>
    </w:pPr>
    <w:rPr>
      <w:rFonts w:asciiTheme="majorHAnsi" w:eastAsiaTheme="majorEastAsia" w:hAnsiTheme="majorHAnsi" w:cstheme="majorBidi"/>
      <w:color w:val="4F81BD"/>
      <w:sz w:val="28"/>
      <w:szCs w:val="28"/>
    </w:rPr>
  </w:style>
  <w:style w:type="paragraph" w:styleId="Heading3">
    <w:name w:val="heading 3"/>
    <w:basedOn w:val="Normal"/>
    <w:next w:val="BodyText"/>
    <w:uiPriority w:val="9"/>
    <w:semiHidden/>
    <w:unhideWhenUsed/>
    <w:qFormat/>
    <w:pPr>
      <w:spacing w:before="200" w:after="0"/>
      <w:outlineLvl w:val="2"/>
    </w:pPr>
    <w:rPr>
      <w:rFonts w:asciiTheme="majorHAnsi" w:eastAsiaTheme="majorEastAsia" w:hAnsiTheme="majorHAnsi" w:cstheme="majorBidi"/>
      <w:color w:val="4F81BD"/>
    </w:rPr>
  </w:style>
  <w:style w:type="paragraph" w:styleId="Heading4">
    <w:name w:val="heading 4"/>
    <w:basedOn w:val="Normal"/>
    <w:next w:val="BodyText"/>
    <w:uiPriority w:val="9"/>
    <w:semiHidden/>
    <w:unhideWhenUsed/>
    <w:qFormat/>
    <w:pPr>
      <w:spacing w:before="200" w:after="0"/>
      <w:outlineLvl w:val="3"/>
    </w:pPr>
    <w:rPr>
      <w:rFonts w:asciiTheme="majorHAnsi" w:eastAsiaTheme="majorEastAsia" w:hAnsiTheme="majorHAnsi" w:cstheme="majorBidi"/>
      <w:color w:val="4F81BD"/>
    </w:rPr>
  </w:style>
  <w:style w:type="paragraph" w:styleId="Heading5">
    <w:name w:val="heading 5"/>
    <w:basedOn w:val="Normal"/>
    <w:next w:val="BodyText"/>
    <w:uiPriority w:val="9"/>
    <w:semiHidden/>
    <w:unhideWhenUsed/>
    <w:qFormat/>
    <w:pPr>
      <w:spacing w:before="200" w:after="0"/>
      <w:outlineLvl w:val="4"/>
    </w:pPr>
    <w:rPr>
      <w:rFonts w:asciiTheme="majorHAnsi" w:eastAsiaTheme="majorEastAsia" w:hAnsiTheme="majorHAnsi" w:cstheme="majorBidi"/>
      <w:color w:val="4F81BD"/>
    </w:rPr>
  </w:style>
  <w:style w:type="paragraph" w:styleId="Heading6">
    <w:name w:val="heading 6"/>
    <w:basedOn w:val="Normal"/>
    <w:next w:val="BodyText"/>
    <w:uiPriority w:val="9"/>
    <w:semiHidden/>
    <w:unhideWhenUsed/>
    <w:qFormat/>
    <w:pPr>
      <w:spacing w:before="200" w:after="0"/>
      <w:outlineLvl w:val="5"/>
    </w:pPr>
    <w:rPr>
      <w:rFonts w:asciiTheme="majorHAnsi" w:eastAsiaTheme="majorEastAsia" w:hAnsiTheme="majorHAnsi" w:cstheme="majorBidi"/>
      <w:color w:val="4F81BD"/>
    </w:rPr>
  </w:style>
  <w:style w:type="paragraph" w:styleId="Heading7">
    <w:name w:val="heading 7"/>
    <w:basedOn w:val="Normal"/>
    <w:next w:val="BodyText"/>
    <w:qFormat/>
    <w:pPr>
      <w:spacing w:before="200" w:after="0"/>
      <w:outlineLvl w:val="6"/>
    </w:pPr>
    <w:rPr>
      <w:rFonts w:asciiTheme="majorHAnsi" w:eastAsiaTheme="majorEastAsia" w:hAnsiTheme="majorHAnsi" w:cstheme="majorBidi"/>
      <w:color w:val="4F81BD"/>
    </w:rPr>
  </w:style>
  <w:style w:type="paragraph" w:styleId="Heading8">
    <w:name w:val="heading 8"/>
    <w:basedOn w:val="Normal"/>
    <w:next w:val="BodyText"/>
    <w:qFormat/>
    <w:pPr>
      <w:spacing w:before="200" w:after="0"/>
      <w:outlineLvl w:val="7"/>
    </w:pPr>
    <w:rPr>
      <w:rFonts w:asciiTheme="majorHAnsi" w:eastAsiaTheme="majorEastAsia" w:hAnsiTheme="majorHAnsi" w:cstheme="majorBidi"/>
      <w:color w:val="4F81BD"/>
    </w:rPr>
  </w:style>
  <w:style w:type="paragraph" w:styleId="Heading9">
    <w:name w:val="heading 9"/>
    <w:basedOn w:val="Normal"/>
    <w:next w:val="BodyText"/>
    <w:qFormat/>
    <w:pPr>
      <w:spacing w:before="200" w:after="0"/>
      <w:outlineLvl w:val="8"/>
    </w:pPr>
    <w:rPr>
      <w:rFonts w:asciiTheme="majorHAnsi" w:eastAsiaTheme="majorEastAsia" w:hAnsiTheme="majorHAnsi" w:cstheme="majorBidi"/>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next w:val="Normal"/>
    <w:qFormat/>
    <w:pPr>
      <w:spacing w:before="36" w:after="36"/>
    </w:pPr>
  </w:style>
  <w:style w:type="paragraph" w:styleId="Title">
    <w:name w:val="Title"/>
    <w:basedOn w:val="Normal"/>
    <w:next w:val="BodyText"/>
    <w:uiPriority w:val="10"/>
    <w:qFormat/>
    <w:pPr>
      <w:spacing w:before="480" w:after="240"/>
      <w:jc w:val="center"/>
    </w:pPr>
    <w:rPr>
      <w:rFonts w:asciiTheme="majorHAnsi" w:eastAsiaTheme="majorEastAsia" w:hAnsiTheme="majorHAnsi" w:cstheme="majorBidi"/>
      <w:b/>
      <w:bCs/>
      <w:color w:val="345A8A"/>
      <w:sz w:val="36"/>
      <w:szCs w:val="36"/>
    </w:rPr>
  </w:style>
  <w:style w:type="paragraph" w:styleId="Subtitle">
    <w:name w:val="Subtitle"/>
    <w:basedOn w:val="Title"/>
    <w:next w:val="BodyText"/>
    <w:uiPriority w:val="11"/>
    <w:qFormat/>
    <w:pPr>
      <w:spacing w:before="240"/>
    </w:pPr>
    <w:rPr>
      <w:sz w:val="30"/>
      <w:szCs w:val="30"/>
    </w:rPr>
  </w:style>
  <w:style w:type="paragraph" w:customStyle="1" w:styleId="Author">
    <w:name w:val="Author"/>
    <w:next w:val="BodyText"/>
    <w:qFormat/>
    <w:pPr>
      <w:jc w:val="center"/>
    </w:pPr>
  </w:style>
  <w:style w:type="paragraph" w:styleId="Date">
    <w:name w:val="Date"/>
    <w:next w:val="BodyText"/>
    <w:qFormat/>
    <w:pPr>
      <w:jc w:val="center"/>
    </w:pPr>
  </w:style>
  <w:style w:type="paragraph" w:customStyle="1" w:styleId="Abstract">
    <w:name w:val="Abstract"/>
    <w:basedOn w:val="Normal"/>
    <w:next w:val="BodyText"/>
    <w:qFormat/>
    <w:pPr>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qFormat/>
    <w:pPr>
      <w:spacing w:before="100" w:after="100"/>
      <w:ind w:left="480" w:right="480"/>
    </w:pPr>
  </w:style>
  <w:style w:type="paragraph" w:styleId="Quote">
    <w:name w:val="Quote"/>
    <w:basedOn w:val="BodyText"/>
    <w:next w:val="BodyText"/>
    <w:qFormat/>
    <w:pPr>
      <w:spacing w:before="100" w:after="100"/>
      <w:ind w:left="480" w:right="480"/>
    </w:pPr>
  </w:style>
  <w:style w:type="paragraph" w:styleId="FootnoteText">
    <w:name w:val="footnote text"/>
    <w:basedOn w:val="Normal"/>
    <w:qFormat/>
  </w:style>
  <w:style w:type="table" w:customStyle="1" w:styleId="Table">
    <w:name w:val="Table"/>
    <w:qFormat/>
    <w:tblPr>
      <w:tblCellMar>
        <w:top w:w="0" w:type="dxa"/>
        <w:left w:w="0" w:type="dxa"/>
        <w:bottom w:w="0" w:type="dxa"/>
        <w:right w:w="0" w:type="dxa"/>
      </w:tblCellMar>
    </w:tblPr>
  </w:style>
  <w:style w:type="paragraph" w:customStyle="1" w:styleId="DefinitionTerm">
    <w:name w:val="Definition Term"/>
    <w:basedOn w:val="Normal"/>
    <w:next w:val="Definition"/>
    <w:qFormat/>
    <w:pPr>
      <w:spacing w:after="0"/>
    </w:pPr>
    <w:rPr>
      <w:b/>
      <w:bCs/>
    </w:rPr>
  </w:style>
  <w:style w:type="paragraph" w:customStyle="1" w:styleId="Definition">
    <w:name w:val="Definition"/>
    <w:basedOn w:val="Normal"/>
    <w:next w:val="Normal"/>
    <w:qFormat/>
  </w:style>
  <w:style w:type="paragraph" w:styleId="Caption">
    <w:name w:val="caption"/>
    <w:basedOn w:val="Normal"/>
    <w:next w:val="Normal"/>
    <w:qFormat/>
    <w:pPr>
      <w:spacing w:after="120"/>
    </w:pPr>
    <w:rPr>
      <w:i/>
      <w:iCs/>
    </w:rPr>
  </w:style>
  <w:style w:type="paragraph" w:customStyle="1" w:styleId="TableCaption">
    <w:name w:val="Table Caption"/>
    <w:basedOn w:val="Caption"/>
    <w:next w:val="Normal"/>
    <w:qFormat/>
  </w:style>
  <w:style w:type="paragraph" w:customStyle="1" w:styleId="ImageCaption">
    <w:name w:val="Image Caption"/>
    <w:basedOn w:val="Caption"/>
    <w:next w:val="Normal"/>
    <w:qFormat/>
  </w:style>
  <w:style w:type="paragraph" w:customStyle="1" w:styleId="Figure">
    <w:name w:val="Figure"/>
    <w:basedOn w:val="Normal"/>
    <w:next w:val="Normal"/>
    <w:qFormat/>
  </w:style>
  <w:style w:type="paragraph" w:customStyle="1" w:styleId="CaptionedFigure">
    <w:name w:val="Captioned Figure"/>
    <w:basedOn w:val="Figure"/>
    <w:next w:val="Normal"/>
    <w:qFormat/>
  </w:style>
  <w:style w:type="character" w:customStyle="1" w:styleId="BodyTextChar">
    <w:name w:val="Body Text Char"/>
    <w:basedOn w:val="DefaultParagraphFont"/>
    <w:qFormat/>
  </w:style>
  <w:style w:type="character" w:customStyle="1" w:styleId="VerbatimChar">
    <w:name w:val="Verbatim Char"/>
    <w:basedOn w:val="BodyTextChar"/>
    <w:qFormat/>
    <w:rPr>
      <w:rFonts w:ascii="Consolas" w:hAnsi="Consolas"/>
      <w:sz w:val="22"/>
      <w:szCs w:val="22"/>
    </w:rPr>
  </w:style>
  <w:style w:type="character" w:styleId="FootnoteReference">
    <w:name w:val="footnote reference"/>
    <w:basedOn w:val="BodyTextChar"/>
    <w:qFormat/>
    <w:rPr>
      <w:vertAlign w:val="superscript"/>
    </w:rPr>
  </w:style>
  <w:style w:type="character" w:styleId="Hyperlink">
    <w:name w:val="Hyperlink"/>
    <w:basedOn w:val="BodyTextChar"/>
    <w:qFormat/>
    <w:rPr>
      <w:color w:val="4F81BD"/>
    </w:rPr>
  </w:style>
  <w:style w:type="paragraph" w:styleId="TOCHeading">
    <w:name w:val="TOC Heading"/>
    <w:basedOn w:val="Heading1"/>
    <w:next w:val="BodyText"/>
    <w:qFormat/>
    <w:pPr>
      <w:spacing w:before="240"/>
    </w:pPr>
    <w:rPr>
      <w:color w:val="365F91"/>
    </w:rPr>
  </w:style>
  <w:style w:type="paragraph" w:customStyle="1" w:styleId="SourceCode">
    <w:name w:val="Source Code"/>
    <w:basedOn w:val="BodyText"/>
    <w:qFormat/>
    <w:pPr>
      <w:shd w:val="clear" w:color="auto" w:fill="D9D9D9"/>
      <w:contextualSpacing/>
    </w:pPr>
    <w:rPr>
      <w:rFonts w:ascii="Consolas" w:hAnsi="Consolas"/>
      <w:sz w:val="22"/>
      <w:szCs w:val="22"/>
    </w:rPr>
  </w:style>
  <w:style w:type="character" w:customStyle="1" w:styleId="InlineMath">
    <w:name w:val="Inline Math"/>
    <w:basedOn w:val="DefaultParagraphFont"/>
    <w:qFormat/>
    <w:rPr>
      <w:rFonts w:ascii="Consolas" w:hAnsi="Consolas"/>
      <w:color w:val="FF0000"/>
      <w:sz w:val="22"/>
      <w:szCs w:val="22"/>
    </w:rPr>
  </w:style>
  <w:style w:type="character" w:customStyle="1" w:styleId="DisplayMath">
    <w:name w:val="Display Math"/>
    <w:basedOn w:val="DefaultParagraphFont"/>
    <w:qFormat/>
    <w:rPr>
      <w:rFonts w:ascii="Consolas" w:hAnsi="Consolas"/>
      <w:color w:val="FF0000"/>
      <w:sz w:val="22"/>
      <w:szCs w:val="22"/>
    </w:rPr>
  </w:style>
  <w:style w:type="paragraph" w:customStyle="1" w:styleId="Metadata">
    <w:name w:val="Metadata"/>
    <w:basedOn w:val="BodyText"/>
    <w:next w:val="Normal"/>
    <w:qFormat/>
    <w:rPr>
      <w:rFonts w:ascii="Consolas" w:hAnsi="Consolas"/>
      <w:color w:val="D9D9D9"/>
    </w:rPr>
  </w:style>
  <w:style w:type="paragraph" w:customStyle="1" w:styleId="SourceCodeLanguage">
    <w:name w:val="Source Code Language"/>
    <w:basedOn w:val="BodyText"/>
    <w:next w:val="SourceCode"/>
    <w:qFormat/>
    <w:pPr>
      <w:spacing w:before="0" w:after="0"/>
    </w:pPr>
    <w:rPr>
      <w:rFonts w:ascii="Consolas" w:hAnsi="Consolas"/>
      <w:color w:val="D99594"/>
    </w:rPr>
  </w:style>
  <w:style w:type="paragraph" w:styleId="ListParagraph">
    <w:name w:val="List Paragraph"/>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1286</Words>
  <Characters>7331</Characters>
  <Application>Microsoft Office Word</Application>
  <DocSecurity>0</DocSecurity>
  <Lines>61</Lines>
  <Paragraphs>17</Paragraphs>
  <ScaleCrop>false</ScaleCrop>
  <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Charles Leach</cp:lastModifiedBy>
  <cp:revision>2</cp:revision>
  <dcterms:created xsi:type="dcterms:W3CDTF">2026-06-28T11:05:00Z</dcterms:created>
  <dcterms:modified xsi:type="dcterms:W3CDTF">2026-06-28T11:05:00Z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14298729-e3e0-4c37-b2e0-07f922ee6433</vt:lpwstr>
  </property>
</Properties>
</file>