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6"/>
          <w:szCs w:val="36"/>
        </w:rPr>
        <w:t xml:space="preserve">Claude Design brief — Scrutinise Central question library</w:t>
      </w:r>
    </w:p>
    <w:p>
      <w:pPr>
        <w:spacing w:after="120"/>
      </w:pPr>
      <w:r>
        <w:rPr>
          <w:i/>
          <w:iCs/>
          <w:color w:val="555555"/>
        </w:rPr>
        <w:t xml:space="preserve">Prepared 9 August 2026. Drop this document into Claude Design as the brief for the session. Work through it top to bottom: set up the design system first, then design the five screens in order.</w:t>
      </w:r>
    </w:p>
    <w:p>
      <w:pPr>
        <w:pStyle w:val="Heading1"/>
        <w:spacing w:after="140" w:before="280"/>
      </w:pPr>
      <w:r>
        <w:t xml:space="preserve">1. Set up the design system before designing anything</w:t>
      </w:r>
    </w:p>
    <w:p>
      <w:pPr>
        <w:spacing w:after="120"/>
      </w:pPr>
      <w:r>
        <w:t xml:space="preserve">This project must use the existing Scrutinise design system, not a generated one. Do the sync first — it is the difference between output that drops into the codebase and output that has to be restyled.</w:t>
      </w:r>
    </w:p>
    <w:p>
      <w:pPr>
        <w:pStyle w:val="ListParagraph"/>
        <w:numPr>
          <w:ilvl w:val="0"/>
          <w:numId w:val="2"/>
        </w:numPr>
        <w:spacing w:after="60"/>
      </w:pPr>
      <w:r>
        <w:t xml:space="preserve">Preferred: pull the design system from the codebase. Use /design-sync via Claude Code on the scrutinise-web repository (Next.js, Tailwind CSS, shadcn/ui components), or import the repository from GitHub so real tokens and components are the starting point.</w:t>
      </w:r>
    </w:p>
    <w:p>
      <w:pPr>
        <w:pStyle w:val="ListParagraph"/>
        <w:numPr>
          <w:ilvl w:val="0"/>
          <w:numId w:val="2"/>
        </w:numPr>
        <w:spacing w:after="60"/>
      </w:pPr>
      <w:r>
        <w:t xml:space="preserve">Fallback, only if sync is unavailable: white page background; near-black/navy primary text; solid navy primary buttons; outline-style secondary buttons; a teal/cyan accent used sparingly; cards with light hairline borders and 12px corner radius; pill-shaped tags; generous whitespace; sentence case throughout; UK English.</w:t>
      </w:r>
    </w:p>
    <w:p>
      <w:pPr>
        <w:spacing w:after="120"/>
      </w:pPr>
      <w:r>
        <w:t xml:space="preserve">The overall register is a high-quality financial app: sober, credible, information-dense done cleanly. Not social-media styling, no gradients, no decorative effects.</w:t>
      </w:r>
    </w:p>
    <w:p>
      <w:pPr>
        <w:pStyle w:val="Heading1"/>
        <w:spacing w:after="140" w:before="280"/>
      </w:pPr>
      <w:r>
        <w:t xml:space="preserve">2. Product context</w:t>
      </w:r>
    </w:p>
    <w:p>
      <w:pPr>
        <w:spacing w:after="120"/>
      </w:pPr>
      <w:r>
        <w:t xml:space="preserve">Scrutinise Central is the social and logistics layer of Scrutinise.org, a non-partisan civic-technology platform. Central hosts private, invite-only Communities with a branch hierarchy (a Community contains branches, which can contain sub-branches). Members share practical organising knowledge inside their Community; nothing inside a Community is publicly visible.</w:t>
      </w:r>
    </w:p>
    <w:p>
      <w:pPr>
        <w:spacing w:after="120"/>
      </w:pPr>
      <w:r>
        <w:t xml:space="preserve">This session designs the question library: a crowd-maintained collection of hard questions members face in public life, each with multiple competing answers ranked by weighted community votes. The library is filterable by context and topic, and exportable as “packs” — a top-N selection matching the current filters, used for training and out in the field.</w:t>
      </w:r>
    </w:p>
    <w:p>
      <w:pPr>
        <w:spacing w:after="120"/>
      </w:pPr>
      <w:r>
        <w:t xml:space="preserve">Users and where they are: ordinary members (frequently on phones, sometimes outdoors mid-conversation — mobile matters); branch managers (moderate and approve); Community admins (oversee all branches). Design mobile and desktop for every screen; the pack output screen is mobile-first.</w:t>
      </w:r>
    </w:p>
    <w:p>
      <w:pPr>
        <w:pStyle w:val="Heading1"/>
        <w:spacing w:after="140" w:before="280"/>
      </w:pPr>
      <w:r>
        <w:t xml:space="preserve">3. The five screens</w:t>
      </w:r>
    </w:p>
    <w:p>
      <w:pPr>
        <w:pStyle w:val="Heading2"/>
        <w:spacing w:after="100" w:before="220"/>
      </w:pPr>
      <w:r>
        <w:t xml:space="preserve">Screen 1 — Question library (list view)</w:t>
      </w:r>
    </w:p>
    <w:p>
      <w:pPr>
        <w:pStyle w:val="ListParagraph"/>
        <w:numPr>
          <w:ilvl w:val="0"/>
          <w:numId w:val="2"/>
        </w:numPr>
        <w:spacing w:after="60"/>
      </w:pPr>
      <w:r>
        <w:t xml:space="preserve">Tab row for the Community: Questions (active), Board, Training, Leaderboard.</w:t>
      </w:r>
    </w:p>
    <w:p>
      <w:pPr>
        <w:pStyle w:val="ListParagraph"/>
        <w:numPr>
          <w:ilvl w:val="0"/>
          <w:numId w:val="2"/>
        </w:numPr>
        <w:spacing w:after="60"/>
      </w:pPr>
      <w:r>
        <w:t xml:space="preserve">Context filter chips: All, Doorstep, Media interview, Hustings, University AMA, Council chamber. A secondary topic filter (dropdown or chips) and a search input.</w:t>
      </w:r>
    </w:p>
    <w:p>
      <w:pPr>
        <w:pStyle w:val="ListParagraph"/>
        <w:numPr>
          <w:ilvl w:val="0"/>
          <w:numId w:val="2"/>
        </w:numPr>
        <w:spacing w:after="60"/>
      </w:pPr>
      <w:r>
        <w:t xml:space="preserve">Sort control: Top this month (default), Top all time, Newest.</w:t>
      </w:r>
    </w:p>
    <w:p>
      <w:pPr>
        <w:pStyle w:val="ListParagraph"/>
        <w:numPr>
          <w:ilvl w:val="0"/>
          <w:numId w:val="2"/>
        </w:numPr>
        <w:spacing w:after="60"/>
      </w:pPr>
      <w:r>
        <w:t xml:space="preserve">A single primary action: “Build a pack”.</w:t>
      </w:r>
    </w:p>
    <w:p>
      <w:pPr>
        <w:pStyle w:val="ListParagraph"/>
        <w:numPr>
          <w:ilvl w:val="0"/>
          <w:numId w:val="2"/>
        </w:numPr>
        <w:spacing w:after="60"/>
      </w:pPr>
      <w:r>
        <w:t xml:space="preserve">Question cards: upvote control with count on the left; question text; one-line preview of the current best answer; tag pills; answer count; small indicators for “has sources” and “local example”.</w:t>
      </w:r>
    </w:p>
    <w:p>
      <w:pPr>
        <w:pStyle w:val="ListParagraph"/>
        <w:numPr>
          <w:ilvl w:val="0"/>
          <w:numId w:val="2"/>
        </w:numPr>
        <w:spacing w:after="60"/>
      </w:pPr>
      <w:r>
        <w:t xml:space="preserve">Design two states: populated (use the sample content in section 5) and a new-community empty state that invites the first question without looking broken.</w:t>
      </w:r>
    </w:p>
    <w:p>
      <w:pPr>
        <w:pStyle w:val="Heading2"/>
        <w:spacing w:after="100" w:before="220"/>
      </w:pPr>
      <w:r>
        <w:t xml:space="preserve">Screen 2 — Question detail</w:t>
      </w:r>
    </w:p>
    <w:p>
      <w:pPr>
        <w:pStyle w:val="ListParagraph"/>
        <w:numPr>
          <w:ilvl w:val="0"/>
          <w:numId w:val="2"/>
        </w:numPr>
        <w:spacing w:after="60"/>
      </w:pPr>
      <w:r>
        <w:t xml:space="preserve">The question with its tags at the top.</w:t>
      </w:r>
    </w:p>
    <w:p>
      <w:pPr>
        <w:pStyle w:val="ListParagraph"/>
        <w:numPr>
          <w:ilvl w:val="0"/>
          <w:numId w:val="2"/>
        </w:numPr>
        <w:spacing w:after="60"/>
      </w:pPr>
      <w:r>
        <w:t xml:space="preserve">Answers ranked by score, each with: vote control, answer text, an optional list of source links (cited public records), and an optional “local example” callout box visually distinct from the answer body.</w:t>
      </w:r>
    </w:p>
    <w:p>
      <w:pPr>
        <w:pStyle w:val="ListParagraph"/>
        <w:numPr>
          <w:ilvl w:val="0"/>
          <w:numId w:val="2"/>
        </w:numPr>
        <w:spacing w:after="60"/>
      </w:pPr>
      <w:r>
        <w:t xml:space="preserve">An “Add an answer” composer at the bottom; a quiet report/flag affordance on each answer.</w:t>
      </w:r>
    </w:p>
    <w:p>
      <w:pPr>
        <w:pStyle w:val="Heading2"/>
        <w:spacing w:after="100" w:before="220"/>
      </w:pPr>
      <w:r>
        <w:t xml:space="preserve">Screen 3 — Add a question</w:t>
      </w:r>
    </w:p>
    <w:p>
      <w:pPr>
        <w:pStyle w:val="ListParagraph"/>
        <w:numPr>
          <w:ilvl w:val="0"/>
          <w:numId w:val="2"/>
        </w:numPr>
        <w:spacing w:after="60"/>
      </w:pPr>
      <w:r>
        <w:t xml:space="preserve">Flow: type the question → the system shows near-matches (“Is it one of these? Add your answer there instead”) → pick context and topic tags → choose scope (whole Community or this branch only) → submit.</w:t>
      </w:r>
    </w:p>
    <w:p>
      <w:pPr>
        <w:pStyle w:val="ListParagraph"/>
        <w:numPr>
          <w:ilvl w:val="0"/>
          <w:numId w:val="2"/>
        </w:numPr>
        <w:spacing w:after="60"/>
      </w:pPr>
      <w:r>
        <w:t xml:space="preserve">The near-match step is the important design moment — it should feel like a helpful shortcut, not a rejection.</w:t>
      </w:r>
    </w:p>
    <w:p>
      <w:pPr>
        <w:pStyle w:val="Heading2"/>
        <w:spacing w:after="100" w:before="220"/>
      </w:pPr>
      <w:r>
        <w:t xml:space="preserve">Screen 4 — Pack builder and pack output (exploration priority)</w:t>
      </w:r>
    </w:p>
    <w:p>
      <w:pPr>
        <w:pStyle w:val="ListParagraph"/>
        <w:numPr>
          <w:ilvl w:val="0"/>
          <w:numId w:val="2"/>
        </w:numPr>
        <w:spacing w:after="60"/>
      </w:pPr>
      <w:r>
        <w:t xml:space="preserve">Builder: current filters summarised, a size selector (top 10 / 25 / 50), a live preview list with pin and remove controls per item.</w:t>
      </w:r>
    </w:p>
    <w:p>
      <w:pPr>
        <w:pStyle w:val="ListParagraph"/>
        <w:numPr>
          <w:ilvl w:val="0"/>
          <w:numId w:val="2"/>
        </w:numPr>
        <w:spacing w:after="60"/>
      </w:pPr>
      <w:r>
        <w:t xml:space="preserve">Output, two renderings: (a) a phone view — clean scrollable cards a canvasser can glance at mid-doorstep; (b) a print/A4 view — a well-set typographic list suitable for handing out at a training session.</w:t>
      </w:r>
    </w:p>
    <w:p>
      <w:pPr>
        <w:pStyle w:val="ListParagraph"/>
        <w:numPr>
          <w:ilvl w:val="0"/>
          <w:numId w:val="2"/>
        </w:numPr>
        <w:spacing w:after="60"/>
      </w:pPr>
      <w:r>
        <w:t xml:space="preserve">This is the screen with the most room for design exploration — generate several directions here.</w:t>
      </w:r>
    </w:p>
    <w:p>
      <w:pPr>
        <w:pStyle w:val="Heading2"/>
        <w:spacing w:after="100" w:before="220"/>
      </w:pPr>
      <w:r>
        <w:t xml:space="preserve">Screen 5 — Across branches (Community admins only)</w:t>
      </w:r>
    </w:p>
    <w:p>
      <w:pPr>
        <w:pStyle w:val="ListParagraph"/>
        <w:numPr>
          <w:ilvl w:val="0"/>
          <w:numId w:val="2"/>
        </w:numPr>
        <w:spacing w:after="60"/>
      </w:pPr>
      <w:r>
        <w:t xml:space="preserve">One restrained dashboard: for each branch, its top-voted and rising items and simple participation counts. The feeling is a calm overview, not surveillance — an admin seeing what the community values most this week.</w:t>
      </w:r>
    </w:p>
    <w:p>
      <w:pPr>
        <w:pStyle w:val="Heading1"/>
        <w:spacing w:after="140" w:before="280"/>
      </w:pPr>
      <w:r>
        <w:t xml:space="preserve">4. Content rules for the design</w:t>
      </w:r>
    </w:p>
    <w:p>
      <w:pPr>
        <w:pStyle w:val="ListParagraph"/>
        <w:numPr>
          <w:ilvl w:val="0"/>
          <w:numId w:val="2"/>
        </w:numPr>
        <w:spacing w:after="60"/>
      </w:pPr>
      <w:r>
        <w:t xml:space="preserve">Use the sample content in section 5 verbatim. Do not invent political, party, or campaign content anywhere in the designs.</w:t>
      </w:r>
    </w:p>
    <w:p>
      <w:pPr>
        <w:pStyle w:val="ListParagraph"/>
        <w:numPr>
          <w:ilvl w:val="0"/>
          <w:numId w:val="2"/>
        </w:numPr>
        <w:spacing w:after="60"/>
      </w:pPr>
      <w:r>
        <w:t xml:space="preserve">Sentence case everywhere, UK English, no exclamation marks in UI copy.</w:t>
      </w:r>
    </w:p>
    <w:p>
      <w:pPr>
        <w:pStyle w:val="ListParagraph"/>
        <w:numPr>
          <w:ilvl w:val="0"/>
          <w:numId w:val="2"/>
        </w:numPr>
        <w:spacing w:after="60"/>
      </w:pPr>
      <w:r>
        <w:t xml:space="preserve">Accessibility: sufficient contrast, comfortable touch targets on mobile, votes and controls reachable one-handed on the list view.</w:t>
      </w:r>
    </w:p>
    <w:p>
      <w:pPr>
        <w:pStyle w:val="ListParagraph"/>
        <w:numPr>
          <w:ilvl w:val="0"/>
          <w:numId w:val="2"/>
        </w:numPr>
        <w:spacing w:after="60"/>
      </w:pPr>
      <w:r>
        <w:t xml:space="preserve">Light mode first — the existing site is light. Dark mode is not required for this session.</w:t>
      </w:r>
    </w:p>
    <w:p>
      <w:pPr>
        <w:pStyle w:val="Heading1"/>
        <w:spacing w:after="140" w:before="280"/>
      </w:pPr>
      <w:r>
        <w:t xml:space="preserve">5. Sample content (use verbatim)</w:t>
      </w:r>
    </w:p>
    <w:p>
      <w:pPr>
        <w:pStyle w:val="ListParagraph"/>
        <w:numPr>
          <w:ilvl w:val="0"/>
          <w:numId w:val="2"/>
        </w:numPr>
        <w:spacing w:after="60"/>
      </w:pPr>
      <w:r>
        <w:t xml:space="preserve">“How do I actually read our council’s accounts to find waste?” — tags: Council chamber, Local finance — 51 votes, 2 answers, has sources. Best answer preview: “Start with the outturn statement, not the budget — the variance column is where…”</w:t>
      </w:r>
    </w:p>
    <w:p>
      <w:pPr>
        <w:pStyle w:val="ListParagraph"/>
        <w:numPr>
          <w:ilvl w:val="0"/>
          <w:numId w:val="2"/>
        </w:numPr>
        <w:spacing w:after="60"/>
      </w:pPr>
      <w:r>
        <w:t xml:space="preserve">“Why should my council tax go up when services are getting worse?” — tags: Doorstep, Local finance — 38 votes, 4 answers, local example. Preview: “Start from the shared ground — nobody thinks they’re getting value right now…”</w:t>
      </w:r>
    </w:p>
    <w:p>
      <w:pPr>
        <w:pStyle w:val="ListParagraph"/>
        <w:numPr>
          <w:ilvl w:val="0"/>
          <w:numId w:val="2"/>
        </w:numPr>
        <w:spacing w:after="60"/>
      </w:pPr>
      <w:r>
        <w:t xml:space="preserve">“Isn’t your party just a protest vote?” — tags: Media interview, Party — 29 votes, 6 answers. Preview: “Fair question — here’s what we’ve actually done where we run things…”</w:t>
      </w:r>
    </w:p>
    <w:p>
      <w:pPr>
        <w:pStyle w:val="ListParagraph"/>
        <w:numPr>
          <w:ilvl w:val="0"/>
          <w:numId w:val="2"/>
        </w:numPr>
        <w:spacing w:after="60"/>
      </w:pPr>
      <w:r>
        <w:t xml:space="preserve">“What are you actually going to do about potholes?” — tags: Doorstep, Local services — 24 votes, 3 answers, has sources.</w:t>
      </w:r>
    </w:p>
    <w:p>
      <w:pPr>
        <w:pStyle w:val="ListParagraph"/>
        <w:numPr>
          <w:ilvl w:val="0"/>
          <w:numId w:val="2"/>
        </w:numPr>
        <w:spacing w:after="60"/>
      </w:pPr>
      <w:r>
        <w:t xml:space="preserve">“How do we recruit volunteers who actually turn up?” — tags: Hustings, Organising — 19 votes, 5 answers.</w:t>
      </w:r>
    </w:p>
    <w:p>
      <w:pPr>
        <w:pStyle w:val="ListParagraph"/>
        <w:numPr>
          <w:ilvl w:val="0"/>
          <w:numId w:val="2"/>
        </w:numPr>
        <w:spacing w:after="60"/>
      </w:pPr>
      <w:r>
        <w:t xml:space="preserve">“Where does the council’s money actually go?” — tags: University AMA, Local finance — 16 votes, 2 answers, has sources.</w:t>
      </w:r>
    </w:p>
    <w:p>
      <w:pPr>
        <w:pStyle w:val="Heading1"/>
        <w:spacing w:after="140" w:before="280"/>
      </w:pPr>
      <w:r>
        <w:t xml:space="preserve">6. Deliverables and handoff</w:t>
      </w:r>
    </w:p>
    <w:p>
      <w:pPr>
        <w:pStyle w:val="ListParagraph"/>
        <w:numPr>
          <w:ilvl w:val="0"/>
          <w:numId w:val="2"/>
        </w:numPr>
        <w:spacing w:after="60"/>
      </w:pPr>
      <w:r>
        <w:t xml:space="preserve">Desktop and mobile for screens 1–3 and 5; mobile-first plus print/A4 for screen 4.</w:t>
      </w:r>
    </w:p>
    <w:p>
      <w:pPr>
        <w:pStyle w:val="ListParagraph"/>
        <w:numPr>
          <w:ilvl w:val="0"/>
          <w:numId w:val="2"/>
        </w:numPr>
        <w:spacing w:after="60"/>
      </w:pPr>
      <w:r>
        <w:t xml:space="preserve">When a direction is agreed, hand the work to Claude Code so implementation continues from the design rather than from screenshots. The functional specification (data model, permissions, voting rules) already exists separately and will be supplied to Claude Code alongside this design work — do not redesign the mechanics, only the surfaces.</w:t>
      </w:r>
    </w:p>
    <w:p>
      <w:pPr>
        <w:pStyle w:val="Heading1"/>
        <w:spacing w:after="140" w:before="280"/>
      </w:pPr>
      <w:r>
        <w:t xml:space="preserve">7. Session tips</w:t>
      </w:r>
    </w:p>
    <w:p>
      <w:pPr>
        <w:pStyle w:val="ListParagraph"/>
        <w:numPr>
          <w:ilvl w:val="0"/>
          <w:numId w:val="2"/>
        </w:numPr>
        <w:spacing w:after="60"/>
      </w:pPr>
      <w:r>
        <w:t xml:space="preserve">Do the design-system sync before generating anything — skipping it wastes the session restyling.</w:t>
      </w:r>
    </w:p>
    <w:p>
      <w:pPr>
        <w:pStyle w:val="ListParagraph"/>
        <w:numPr>
          <w:ilvl w:val="0"/>
          <w:numId w:val="2"/>
        </w:numPr>
        <w:spacing w:after="60"/>
      </w:pPr>
      <w:r>
        <w:t xml:space="preserve">Iterate with inline comments and adjustment sliders rather than regenerating whole screens.</w:t>
      </w:r>
    </w:p>
    <w:p>
      <w:pPr>
        <w:pStyle w:val="ListParagraph"/>
        <w:numPr>
          <w:ilvl w:val="0"/>
          <w:numId w:val="2"/>
        </w:numPr>
        <w:spacing w:after="60"/>
      </w:pPr>
      <w:r>
        <w:t xml:space="preserve">Batch: all five screens in one session. Claude Design has its own weekly usage meter, separate from chat — arrive planned, leave with everything.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30"/>
      <w:szCs w:val="30"/>
    </w:rPr>
  </w:style>
  <w:style w:type="paragraph" w:styleId="Heading2">
    <w:name w:val="Heading 2"/>
    <w:basedOn w:val="Normal"/>
    <w:next w:val="Normal"/>
    <w:qFormat/>
    <w:rPr>
      <w:rFonts w:ascii="Calibri" w:cs="Calibri" w:eastAsia="Calibri" w:hAnsi="Calibri"/>
      <w:b/>
      <w:bCs/>
      <w:color w:val="1A1A2E"/>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2026-08-09T08:40:05.161Z</dcterms:created>
  <dcterms:modified xsi:type="dcterms:W3CDTF">2026-08-09T08:40:05.173Z</dcterms:modified>
</cp:coreProperties>
</file>

<file path=docProps/custom.xml><?xml version="1.0" encoding="utf-8"?>
<Properties xmlns="http://schemas.openxmlformats.org/officeDocument/2006/custom-properties" xmlns:vt="http://schemas.openxmlformats.org/officeDocument/2006/docPropsVTypes"/>
</file>