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52" w:name="gold-set-answer-key-validation-review"/>
    <w:p>
      <w:pPr>
        <w:pStyle w:val="Heading1"/>
      </w:pPr>
      <w:r>
        <w:t xml:space="preserve">Gold Set — Answer-Key Validation Review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for each question below, confirm the proposed expected answer is right, correct it,</w:t>
      </w:r>
      <w:r>
        <w:t xml:space="preserve"> </w:t>
      </w:r>
      <w:r>
        <w:t xml:space="preserve">or write</w:t>
      </w:r>
      <w:r>
        <w:t xml:space="preserve"> </w:t>
      </w:r>
      <w:r>
        <w:t xml:space="preserve">“</w:t>
      </w:r>
      <w:r>
        <w:t xml:space="preserve">trust it</w:t>
      </w:r>
      <w:r>
        <w:t xml:space="preserve">”</w:t>
      </w:r>
      <w:r>
        <w:t xml:space="preserve"> </w:t>
      </w:r>
      <w:r>
        <w:t xml:space="preserve">if you have no reason to doubt it. This is the check that makes every</w:t>
      </w:r>
      <w:r>
        <w:t xml:space="preserve"> </w:t>
      </w:r>
      <w:r>
        <w:t xml:space="preserve">recall@20 percentage in the search project trustworthy rather than provisional — it has never</w:t>
      </w:r>
      <w:r>
        <w:t xml:space="preserve"> </w:t>
      </w:r>
      <w:r>
        <w:t xml:space="preserve">been done for these archetypes. Archetype B was already validated in June/July and is not</w:t>
      </w:r>
      <w:r>
        <w:t xml:space="preserve"> </w:t>
      </w:r>
      <w:r>
        <w:t xml:space="preserve">repeated here.</w:t>
      </w:r>
    </w:p>
    <w:p>
      <w:pPr>
        <w:pStyle w:val="BodyText"/>
      </w:pPr>
      <w:r>
        <w:rPr>
          <w:bCs/>
          <w:b/>
        </w:rPr>
        <w:t xml:space="preserve">How to read each entry:</w:t>
      </w:r>
      <w:r>
        <w:t xml:space="preserve"> </w:t>
      </w:r>
      <w:r>
        <w:t xml:space="preserve">the question, the proposed expected sources, and how confident that</w:t>
      </w:r>
      <w:r>
        <w:t xml:space="preserve"> </w:t>
      </w:r>
      <w:r>
        <w:t xml:space="preserve">proposal is —</w:t>
      </w:r>
      <w:r>
        <w:t xml:space="preserve"> </w:t>
      </w:r>
      <w:r>
        <w:rPr>
          <w:bCs/>
          <w:b/>
        </w:rPr>
        <w:t xml:space="preserve">checked</w:t>
      </w:r>
      <w:r>
        <w:t xml:space="preserve"> </w:t>
      </w:r>
      <w:r>
        <w:t xml:space="preserve">(verified against a live source this week),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(settled law,</w:t>
      </w:r>
      <w:r>
        <w:t xml:space="preserve"> </w:t>
      </w:r>
      <w:r>
        <w:t xml:space="preserve">unlikely to have moved, drafted from established knowledge), or</w:t>
      </w:r>
      <w:r>
        <w:t xml:space="preserve"> </w:t>
      </w:r>
      <w:r>
        <w:rPr>
          <w:bCs/>
          <w:b/>
        </w:rPr>
        <w:t xml:space="preserve">needs your eye</w:t>
      </w:r>
      <w:r>
        <w:t xml:space="preserve"> </w:t>
      </w:r>
      <w:r>
        <w:t xml:space="preserve">(an area you</w:t>
      </w:r>
      <w:r>
        <w:t xml:space="preserve"> </w:t>
      </w:r>
      <w:r>
        <w:t xml:space="preserve">know better than I do, or genuinely uncertain). A blank notes box follows every entry.</w:t>
      </w:r>
    </w:p>
    <w:p>
      <w:r>
        <w:pict>
          <v:rect style="width:0;height:1.5pt" o:hralign="center" o:hrstd="t" o:hr="t"/>
        </w:pict>
      </w:r>
    </w:p>
    <w:bookmarkStart w:id="25" w:name="archetype-a-known-item-citation-lookup"/>
    <w:p>
      <w:pPr>
        <w:pStyle w:val="Heading2"/>
      </w:pPr>
      <w:r>
        <w:t xml:space="preserve">Archetype A — known-item / citation lookup</w:t>
      </w:r>
    </w:p>
    <w:bookmarkStart w:id="20" w:name="a1-section-21-housing-act-1988"/>
    <w:p>
      <w:pPr>
        <w:pStyle w:val="Heading3"/>
      </w:pPr>
      <w:r>
        <w:t xml:space="preserve">A1 —</w:t>
      </w:r>
      <w:r>
        <w:t xml:space="preserve"> </w:t>
      </w:r>
      <w:r>
        <w:t xml:space="preserve">“</w:t>
      </w:r>
      <w:r>
        <w:t xml:space="preserve">Section 21 Housing Act 1988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HA 1988 s.21 as it now stands —</w:t>
      </w:r>
      <w:r>
        <w:t xml:space="preserve"> </w:t>
      </w:r>
      <w:r>
        <w:rPr>
          <w:bCs/>
          <w:b/>
        </w:rPr>
        <w:t xml:space="preserve">abolished</w:t>
      </w:r>
      <w:r>
        <w:t xml:space="preserve"> </w:t>
      </w:r>
      <w:r>
        <w:t xml:space="preserve">from 1 May 2026 by the Renters’</w:t>
      </w:r>
      <w:r>
        <w:t xml:space="preserve"> </w:t>
      </w:r>
      <w:r>
        <w:t xml:space="preserve">Rights Act 2025; the answer should centre on the Renters’ Rights Act 2025, not treat s.21 as live</w:t>
      </w:r>
      <w:r>
        <w:t xml:space="preserve"> </w:t>
      </w:r>
      <w:r>
        <w:t xml:space="preserve">law.</w:t>
      </w:r>
      <w:r>
        <w:t xml:space="preserve"> </w:t>
      </w:r>
      <w:r>
        <w:rPr>
          <w:bCs/>
          <w:b/>
        </w:rPr>
        <w:t xml:space="preserve">Checked</w:t>
      </w:r>
      <w:r>
        <w:t xml:space="preserve"> </w:t>
      </w:r>
      <w:r>
        <w:t xml:space="preserve">(same finding as the B1 work in June, re-applies directly here).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0"/>
    <w:bookmarkStart w:id="21" w:name="X43e71d287acc8551dbfc55846f893245e921de5"/>
    <w:p>
      <w:pPr>
        <w:pStyle w:val="Heading3"/>
      </w:pPr>
      <w:r>
        <w:t xml:space="preserve">A2 —</w:t>
      </w:r>
      <w:r>
        <w:t xml:space="preserve"> </w:t>
      </w:r>
      <w:r>
        <w:t xml:space="preserve">“</w:t>
      </w:r>
      <w:r>
        <w:t xml:space="preserve">What does section 1 of the Theft Act 1968 actually say?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Theft Act 1968 s.1 (definition of theft), ss.2–6 as surrounding context.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— this is foundational, unamended criminal law.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1"/>
    <w:bookmarkStart w:id="22" w:name="a3-working-time-regulations-1998"/>
    <w:p>
      <w:pPr>
        <w:pStyle w:val="Heading3"/>
      </w:pPr>
      <w:r>
        <w:t xml:space="preserve">A3 —</w:t>
      </w:r>
      <w:r>
        <w:t xml:space="preserve"> </w:t>
      </w:r>
      <w:r>
        <w:t xml:space="preserve">“</w:t>
      </w:r>
      <w:r>
        <w:t xml:space="preserve">Working Time Regulations 1998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SI 1998/1833; reg 4 (48-hour week), regs 13–13A (annual leave); note amendment</w:t>
      </w:r>
      <w:r>
        <w:t xml:space="preserve"> </w:t>
      </w:r>
      <w:r>
        <w:t xml:space="preserve">history but treat as currently live.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2"/>
    <w:bookmarkStart w:id="23" w:name="a4-equality-act-2010-section-149"/>
    <w:p>
      <w:pPr>
        <w:pStyle w:val="Heading3"/>
      </w:pPr>
      <w:r>
        <w:t xml:space="preserve">A4 —</w:t>
      </w:r>
      <w:r>
        <w:t xml:space="preserve"> </w:t>
      </w:r>
      <w:r>
        <w:t xml:space="preserve">“</w:t>
      </w:r>
      <w:r>
        <w:t xml:space="preserve">Equality Act 2010 section 149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s.149 (Public Sector Equality Duty), Schedule 18, the commencement SI.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3"/>
    <w:bookmarkStart w:id="24" w:name="X66d3ef54d8ced9bfc17351eb9dcf5d5e0b4e5c1"/>
    <w:p>
      <w:pPr>
        <w:pStyle w:val="Heading3"/>
      </w:pPr>
      <w:r>
        <w:t xml:space="preserve">A5 —</w:t>
      </w:r>
      <w:r>
        <w:t xml:space="preserve"> </w:t>
      </w:r>
      <w:r>
        <w:t xml:space="preserve">“</w:t>
      </w:r>
      <w:r>
        <w:t xml:space="preserve">Find me the law that says you have to wear a seatbelt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RTA 1988 ss.14–15; the Seat Belts Regulations 1993.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rchetype-c-policy-area-sweep-breadth"/>
    <w:p>
      <w:pPr>
        <w:pStyle w:val="Heading2"/>
      </w:pPr>
      <w:r>
        <w:t xml:space="preserve">Archetype C — policy-area sweep (breadth)</w:t>
      </w:r>
    </w:p>
    <w:bookmarkStart w:id="26" w:name="X5f1b7a2af5a2e91f7d8d04c9de1f4b0c612cd23"/>
    <w:p>
      <w:pPr>
        <w:pStyle w:val="Heading3"/>
      </w:pPr>
      <w:r>
        <w:t xml:space="preserve">C1 —</w:t>
      </w:r>
      <w:r>
        <w:t xml:space="preserve"> </w:t>
      </w:r>
      <w:r>
        <w:t xml:space="preserve">“</w:t>
      </w:r>
      <w:r>
        <w:t xml:space="preserve">Everything currently regulating short-term holiday lets in England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Levelling-up and Regeneration Act 2023 ss.313–318 (registration-scheme powers —</w:t>
      </w:r>
      <w:r>
        <w:t xml:space="preserve"> </w:t>
      </w:r>
      <w:r>
        <w:t xml:space="preserve">legislated but the scheme itself was still pending implementation as of mid-2026); the London</w:t>
      </w:r>
      <w:r>
        <w:t xml:space="preserve"> </w:t>
      </w:r>
      <w:r>
        <w:t xml:space="preserve">90-night rule (Deregulation Act 2015 s.44); the Use Classes Order (no separate short-let</w:t>
      </w:r>
      <w:r>
        <w:t xml:space="preserve"> </w:t>
      </w:r>
      <w:r>
        <w:t xml:space="preserve">“</w:t>
      </w:r>
      <w:r>
        <w:t xml:space="preserve">C5</w:t>
      </w:r>
      <w:r>
        <w:t xml:space="preserve">”</w:t>
      </w:r>
      <w:r>
        <w:t xml:space="preserve"> </w:t>
      </w:r>
      <w:r>
        <w:t xml:space="preserve">class had actually been enacted as of mid-2026); Article 4 directions as the operative lever</w:t>
      </w:r>
      <w:r>
        <w:t xml:space="preserve"> </w:t>
      </w:r>
      <w:r>
        <w:t xml:space="preserve">outside London.</w:t>
      </w:r>
      <w:r>
        <w:t xml:space="preserve"> </w:t>
      </w:r>
      <w:r>
        <w:rPr>
          <w:bCs/>
          <w:b/>
        </w:rPr>
        <w:t xml:space="preserve">Checked</w:t>
      </w:r>
      <w:r>
        <w:t xml:space="preserve"> </w:t>
      </w:r>
      <w:r>
        <w:t xml:space="preserve">(same finding as the B2 work in July).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6"/>
    <w:bookmarkStart w:id="27" w:name="c2-what-laws-govern-e-scooters"/>
    <w:p>
      <w:pPr>
        <w:pStyle w:val="Heading3"/>
      </w:pPr>
      <w:r>
        <w:t xml:space="preserve">C2 —</w:t>
      </w:r>
      <w:r>
        <w:t xml:space="preserve"> </w:t>
      </w:r>
      <w:r>
        <w:t xml:space="preserve">“</w:t>
      </w:r>
      <w:r>
        <w:t xml:space="preserve">What laws govern e-scooters?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RTA 1988; the Electrically Assisted Pedal Cycles Regs; e-scooter trial SIs; written</w:t>
      </w:r>
      <w:r>
        <w:t xml:space="preserve"> </w:t>
      </w:r>
      <w:r>
        <w:t xml:space="preserve">answers on the legalisation timetable (still not fully legalised for private ownership as of this</w:t>
      </w:r>
      <w:r>
        <w:t xml:space="preserve"> </w:t>
      </w:r>
      <w:r>
        <w:t xml:space="preserve">drafting).</w:t>
      </w:r>
      <w:r>
        <w:t xml:space="preserve"> </w:t>
      </w:r>
      <w:r>
        <w:rPr>
          <w:bCs/>
          <w:b/>
        </w:rPr>
        <w:t xml:space="preserve">Needs your eye</w:t>
      </w:r>
      <w:r>
        <w:t xml:space="preserve"> </w:t>
      </w:r>
      <w:r>
        <w:t xml:space="preserve">— this area moves in small steps and I’d want you to sanity-check</w:t>
      </w:r>
      <w:r>
        <w:t xml:space="preserve"> </w:t>
      </w:r>
      <w:r>
        <w:t xml:space="preserve">whether private e-scooter legalisation has progressed since I last looked.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7"/>
    <w:bookmarkStart w:id="28" w:name="Xeffde5fceb4a3b9dbed28c088578faceafcf6c7"/>
    <w:p>
      <w:pPr>
        <w:pStyle w:val="Heading3"/>
      </w:pPr>
      <w:r>
        <w:t xml:space="preserve">C3 —</w:t>
      </w:r>
      <w:r>
        <w:t xml:space="preserve"> </w:t>
      </w:r>
      <w:r>
        <w:t xml:space="preserve">“</w:t>
      </w:r>
      <w:r>
        <w:t xml:space="preserve">Statutory framework for adult social care funding in England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Care Act 2014 Part 1; the Charging and Assessment Regs 2014; the funding cap</w:t>
      </w:r>
      <w:r>
        <w:t xml:space="preserve"> </w:t>
      </w:r>
      <w:r>
        <w:t xml:space="preserve">provisions (repeatedly postponed — confirm current postponement status).</w:t>
      </w:r>
      <w:r>
        <w:t xml:space="preserve"> </w:t>
      </w:r>
      <w:r>
        <w:rPr>
          <w:bCs/>
          <w:b/>
        </w:rPr>
        <w:t xml:space="preserve">Needs your eye</w:t>
      </w:r>
      <w:r>
        <w:t xml:space="preserve"> </w:t>
      </w:r>
      <w:r>
        <w:t xml:space="preserve">on</w:t>
      </w:r>
      <w:r>
        <w:t xml:space="preserve"> </w:t>
      </w:r>
      <w:r>
        <w:t xml:space="preserve">the cap’s current status specifically, since that has moved before.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8"/>
    <w:bookmarkStart w:id="29" w:name="Xf2ce327e46466cddb9b00f2cb74d401732d7b3e"/>
    <w:p>
      <w:pPr>
        <w:pStyle w:val="Heading3"/>
      </w:pPr>
      <w:r>
        <w:t xml:space="preserve">C4 —</w:t>
      </w:r>
      <w:r>
        <w:t xml:space="preserve"> </w:t>
      </w:r>
      <w:r>
        <w:t xml:space="preserve">“</w:t>
      </w:r>
      <w:r>
        <w:t xml:space="preserve">Duties of water companies on sewage discharges, and where they come from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Water Industry Act 1991; Environment Act 2021 ss.141A onward; the Urban Waste Water</w:t>
      </w:r>
      <w:r>
        <w:t xml:space="preserve"> </w:t>
      </w:r>
      <w:r>
        <w:t xml:space="preserve">Treatment Regs 1994; Environment Agency enforcement powers.</w:t>
      </w:r>
      <w:r>
        <w:t xml:space="preserve"> </w:t>
      </w:r>
      <w:r>
        <w:rPr>
          <w:bCs/>
          <w:b/>
        </w:rPr>
        <w:t xml:space="preserve">Stable</w:t>
      </w:r>
      <w:r>
        <w:t xml:space="preserve">, though this is a</w:t>
      </w:r>
      <w:r>
        <w:t xml:space="preserve"> </w:t>
      </w:r>
      <w:r>
        <w:t xml:space="preserve">politically live area — flag if you’re aware of anything materially new since mid-2026.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29"/>
    <w:bookmarkStart w:id="30" w:name="X1a876d5a168e4d3768c3fc3f28ca3a1d114d47d"/>
    <w:p>
      <w:pPr>
        <w:pStyle w:val="Heading3"/>
      </w:pPr>
      <w:r>
        <w:t xml:space="preserve">C5 —</w:t>
      </w:r>
      <w:r>
        <w:t xml:space="preserve"> </w:t>
      </w:r>
      <w:r>
        <w:t xml:space="preserve">“</w:t>
      </w:r>
      <w:r>
        <w:t xml:space="preserve">Protections for people who live in park homes / mobile homes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Mobile Homes Acts 1983 and 2013; Caravan Sites Act 1968.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— a long-tail</w:t>
      </w:r>
      <w:r>
        <w:t xml:space="preserve"> </w:t>
      </w:r>
      <w:r>
        <w:t xml:space="preserve">coverage check, unlikely to have moved.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0d5da9c71d42dc3aedb7bccdd29468fd04871ba"/>
    <w:p>
      <w:pPr>
        <w:pStyle w:val="Heading2"/>
      </w:pPr>
      <w:r>
        <w:t xml:space="preserve">Archetype D — graph / relationship queries (citation &amp; amendment graph)</w:t>
      </w:r>
    </w:p>
    <w:p>
      <w:pPr>
        <w:pStyle w:val="FirstParagraph"/>
      </w:pPr>
      <w:r>
        <w:rPr>
          <w:iCs/>
          <w:i/>
        </w:rPr>
        <w:t xml:space="preserve">Note: this archetype is scored differently — it tests the citation/amendment graph (built 5</w:t>
      </w:r>
      <w:r>
        <w:rPr>
          <w:iCs/>
          <w:i/>
        </w:rPr>
        <w:t xml:space="preserve"> </w:t>
      </w:r>
      <w:r>
        <w:rPr>
          <w:iCs/>
          <w:i/>
        </w:rPr>
        <w:t xml:space="preserve">July), not text search, and was already un-floored from 0% to 80% by that work. Validating these</w:t>
      </w:r>
      <w:r>
        <w:rPr>
          <w:iCs/>
          <w:i/>
        </w:rPr>
        <w:t xml:space="preserve"> </w:t>
      </w:r>
      <w:r>
        <w:rPr>
          <w:iCs/>
          <w:i/>
        </w:rPr>
        <w:t xml:space="preserve">answer keys still matters for trusting that 80% figure.</w:t>
      </w:r>
    </w:p>
    <w:bookmarkStart w:id="32" w:name="Xdd37f425995113dc200399abebdddcd26973994"/>
    <w:p>
      <w:pPr>
        <w:pStyle w:val="Heading3"/>
      </w:pPr>
      <w:r>
        <w:t xml:space="preserve">D1 —</w:t>
      </w:r>
      <w:r>
        <w:t xml:space="preserve"> </w:t>
      </w:r>
      <w:r>
        <w:t xml:space="preserve">“</w:t>
      </w:r>
      <w:r>
        <w:t xml:space="preserve">What has amended section 21 of the Housing Act 1988 since 2015?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Deregulation Act 2015 ss.33–41; the form-prescribing SIs; the Renters’ Rights Act</w:t>
      </w:r>
      <w:r>
        <w:t xml:space="preserve"> </w:t>
      </w:r>
      <w:r>
        <w:t xml:space="preserve">2025 (the repealing provision).</w:t>
      </w:r>
      <w:r>
        <w:t xml:space="preserve"> </w:t>
      </w:r>
      <w:r>
        <w:rPr>
          <w:bCs/>
          <w:b/>
        </w:rPr>
        <w:t xml:space="preserve">Checked</w:t>
      </w:r>
      <w:r>
        <w:t xml:space="preserve">, consistent with A1 above.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2"/>
    <w:bookmarkStart w:id="33" w:name="Xf5e9df8bb24c160e6c7a5d9c310243c7e6feb1b"/>
    <w:p>
      <w:pPr>
        <w:pStyle w:val="Heading3"/>
      </w:pPr>
      <w:r>
        <w:t xml:space="preserve">D2 —</w:t>
      </w:r>
      <w:r>
        <w:t xml:space="preserve"> </w:t>
      </w:r>
      <w:r>
        <w:t xml:space="preserve">“</w:t>
      </w:r>
      <w:r>
        <w:t xml:space="preserve">List the statutory instruments made under the Building Safety Act 2022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the made-under set as recorded by TNA’s enabling-power data — this one should be</w:t>
      </w:r>
      <w:r>
        <w:t xml:space="preserve"> </w:t>
      </w:r>
      <w:r>
        <w:t xml:space="preserve">scored against whatever the graph traversal actually returns rather than a hand-picked list, since</w:t>
      </w:r>
      <w:r>
        <w:t xml:space="preserve"> </w:t>
      </w:r>
      <w:r>
        <w:t xml:space="preserve">the whole point is testing completeness.</w:t>
      </w:r>
      <w:r>
        <w:t xml:space="preserve"> </w:t>
      </w:r>
      <w:r>
        <w:rPr>
          <w:bCs/>
          <w:b/>
        </w:rPr>
        <w:t xml:space="preserve">Stable in method</w:t>
      </w:r>
      <w:r>
        <w:t xml:space="preserve">, not a fixed list to check.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3"/>
    <w:bookmarkStart w:id="34" w:name="Xb2760133d8ed5b83af54aaa4d1d150e4f67d2b7"/>
    <w:p>
      <w:pPr>
        <w:pStyle w:val="Heading3"/>
      </w:pPr>
      <w:r>
        <w:t xml:space="preserve">D3 —</w:t>
      </w:r>
      <w:r>
        <w:t xml:space="preserve"> </w:t>
      </w:r>
      <w:r>
        <w:t xml:space="preserve">“</w:t>
      </w:r>
      <w:r>
        <w:t xml:space="preserve">Which provisions of the Environment Act 2021 are not yet in force?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Proposed, checked this week:</w:t>
      </w:r>
      <w:r>
        <w:t xml:space="preserve"> </w:t>
      </w:r>
      <w:r>
        <w:t xml:space="preserve">the forest-risk-commodities / deforestation-regulation powers</w:t>
      </w:r>
      <w:r>
        <w:t xml:space="preserve"> </w:t>
      </w:r>
      <w:r>
        <w:t xml:space="preserve">are a live, current example — Defra only issued a policy paper in June 2026 announcing that</w:t>
      </w:r>
      <w:r>
        <w:t xml:space="preserve"> </w:t>
      </w:r>
      <w:r>
        <w:t xml:space="preserve">implementing rules would</w:t>
      </w:r>
      <w:r>
        <w:t xml:space="preserve"> </w:t>
      </w:r>
      <w:r>
        <w:t xml:space="preserve">“</w:t>
      </w:r>
      <w:r>
        <w:t xml:space="preserve">finally</w:t>
      </w:r>
      <w:r>
        <w:t xml:space="preserve">”</w:t>
      </w:r>
      <w:r>
        <w:t xml:space="preserve"> </w:t>
      </w:r>
      <w:r>
        <w:t xml:space="preserve">be introduced, years after the Act itself. This is the</w:t>
      </w:r>
      <w:r>
        <w:t xml:space="preserve"> </w:t>
      </w:r>
      <w:r>
        <w:t xml:space="preserve">flagship test case for this query — the graph traversal should surface exactly this kind of gap.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4"/>
    <w:bookmarkStart w:id="35" w:name="Xf3044664bfe82e3f242537a9f50e257447ece73"/>
    <w:p>
      <w:pPr>
        <w:pStyle w:val="Heading3"/>
      </w:pPr>
      <w:r>
        <w:t xml:space="preserve">D4 —</w:t>
      </w:r>
      <w:r>
        <w:t xml:space="preserve"> </w:t>
      </w:r>
      <w:r>
        <w:t xml:space="preserve">“</w:t>
      </w:r>
      <w:r>
        <w:t xml:space="preserve">Has the Dangerous Dogs Act 1991 been changed — what changed and why?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the 1997 Amendment Act; the Anti-social Behaviour, Crime and Policing Act 2014</w:t>
      </w:r>
      <w:r>
        <w:t xml:space="preserve"> </w:t>
      </w:r>
      <w:r>
        <w:t xml:space="preserve">s.106; the XL Bully Order 2023 (made under s.1).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5"/>
    <w:bookmarkStart w:id="36" w:name="X44eabc8ee322c9564c00c2a577bdba95145c258"/>
    <w:p>
      <w:pPr>
        <w:pStyle w:val="Heading3"/>
      </w:pPr>
      <w:r>
        <w:t xml:space="preserve">D5 —</w:t>
      </w:r>
      <w:r>
        <w:t xml:space="preserve"> </w:t>
      </w:r>
      <w:r>
        <w:t xml:space="preserve">“</w:t>
      </w:r>
      <w:r>
        <w:t xml:space="preserve">Case law on</w:t>
      </w:r>
      <w:r>
        <w:t xml:space="preserve"> </w:t>
      </w:r>
      <w:r>
        <w:t xml:space="preserve">‘</w:t>
      </w:r>
      <w:r>
        <w:t xml:space="preserve">philosophical belief</w:t>
      </w:r>
      <w:r>
        <w:t xml:space="preserve">’</w:t>
      </w:r>
      <w:r>
        <w:t xml:space="preserve"> </w:t>
      </w:r>
      <w:r>
        <w:t xml:space="preserve">under section 10 of the Equality Act 2010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Grainger v Nicholson; Forstater v CGD Europe; subsequent EAT applications.</w:t>
      </w:r>
      <w:r>
        <w:t xml:space="preserve"> </w:t>
      </w:r>
      <w:r>
        <w:rPr>
          <w:bCs/>
          <w:b/>
        </w:rPr>
        <w:t xml:space="preserve">Stable</w:t>
      </w:r>
      <w:r>
        <w:t xml:space="preserve">, though this is an active area of case law — flag if you’re aware of a significant</w:t>
      </w:r>
      <w:r>
        <w:t xml:space="preserve"> </w:t>
      </w:r>
      <w:r>
        <w:t xml:space="preserve">newer decision.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archetype-e-legislative-intent-hansard"/>
    <w:p>
      <w:pPr>
        <w:pStyle w:val="Heading2"/>
      </w:pPr>
      <w:r>
        <w:t xml:space="preserve">Archetype E — legislative intent (Hansard)</w:t>
      </w:r>
    </w:p>
    <w:p>
      <w:pPr>
        <w:pStyle w:val="FirstParagraph"/>
      </w:pPr>
      <w:r>
        <w:rPr>
          <w:iCs/>
          <w:i/>
        </w:rPr>
        <w:t xml:space="preserve">These test what was SAID at the time, not current law — lower currency risk than most</w:t>
      </w:r>
      <w:r>
        <w:rPr>
          <w:iCs/>
          <w:i/>
        </w:rPr>
        <w:t xml:space="preserve"> </w:t>
      </w:r>
      <w:r>
        <w:rPr>
          <w:iCs/>
          <w:i/>
        </w:rPr>
        <w:t xml:space="preserve">archetypes, since historical debate content doesn’t change.</w:t>
      </w:r>
    </w:p>
    <w:bookmarkStart w:id="38" w:name="Xdf502f83348e431e32bb90c427f82c7ef1f014c"/>
    <w:p>
      <w:pPr>
        <w:pStyle w:val="Heading3"/>
      </w:pPr>
      <w:r>
        <w:t xml:space="preserve">E1 — Welfare Reform Act 2012, under-occupancy provisions (</w:t>
      </w:r>
      <w:r>
        <w:t xml:space="preserve">“</w:t>
      </w:r>
      <w:r>
        <w:t xml:space="preserve">bedroom tax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Commons/Lords second-reading and committee debates, 2011–12.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8"/>
    <w:bookmarkStart w:id="39" w:name="Xe23102a3daaa62fc7f212e77a41bf9463de475f"/>
    <w:p>
      <w:pPr>
        <w:pStyle w:val="Heading3"/>
      </w:pPr>
      <w:r>
        <w:t xml:space="preserve">E2 — Why the sugar tax is levied on manufacturers, not at the till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Finance Act 2017 Part 2; Budget 2016 / Finance Bill 2017 debate on the</w:t>
      </w:r>
      <w:r>
        <w:t xml:space="preserve"> </w:t>
      </w:r>
      <w:r>
        <w:t xml:space="preserve">reformulation incentive.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39"/>
    <w:bookmarkStart w:id="40" w:name="Xdb100f7606f606c14671406a649025277e41a52"/>
    <w:p>
      <w:pPr>
        <w:pStyle w:val="Heading3"/>
      </w:pPr>
      <w:r>
        <w:t xml:space="preserve">E3 — Assurances on safeguards for bulk powers, Investigatory Powers Act 2016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committee/report-stage Hansard on the</w:t>
      </w:r>
      <w:r>
        <w:t xml:space="preserve"> </w:t>
      </w:r>
      <w:r>
        <w:t xml:space="preserve">“</w:t>
      </w:r>
      <w:r>
        <w:t xml:space="preserve">double-lock</w:t>
      </w:r>
      <w:r>
        <w:t xml:space="preserve">”</w:t>
      </w:r>
      <w:r>
        <w:t xml:space="preserve"> </w:t>
      </w:r>
      <w:r>
        <w:t xml:space="preserve">and IPC oversight.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0"/>
    <w:bookmarkStart w:id="41" w:name="X2ec8876412abdb2f8ce721fcd3297f6c123d29b"/>
    <w:p>
      <w:pPr>
        <w:pStyle w:val="Heading3"/>
      </w:pPr>
      <w:r>
        <w:t xml:space="preserve">E4 — Why the indoor smoking ban doesn’t apply to private homes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Health Act 2006 Part 1; 2005–06 debates on scope and exemptions.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1"/>
    <w:bookmarkStart w:id="42" w:name="X5adf155b9cc8f1e30b962a6e0e09f0e406b0f18"/>
    <w:p>
      <w:pPr>
        <w:pStyle w:val="Heading3"/>
      </w:pPr>
      <w:r>
        <w:t xml:space="preserve">E5 — Ministerial statements on enforcement, Hunting Act 2004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2003–04 Hansard on enforcement and policing of the ban.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e905354768b38d04b04407ddbff2f22136e2c47"/>
    <w:p>
      <w:pPr>
        <w:pStyle w:val="Heading2"/>
      </w:pPr>
      <w:r>
        <w:t xml:space="preserve">Archetype F — precedent / prior attempts (bills, including failed ones)</w:t>
      </w:r>
    </w:p>
    <w:bookmarkStart w:id="44" w:name="Xef0f31239ce1d112ee1e52918ac3633538cc788"/>
    <w:p>
      <w:pPr>
        <w:pStyle w:val="Heading3"/>
      </w:pPr>
      <w:r>
        <w:t xml:space="preserve">F1 — Has anyone tried to ban single-use plastics completely?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wet-wipes and similar Private Members’ Bills; EPA 1990 s.140 SIs (straws 2020,</w:t>
      </w:r>
      <w:r>
        <w:t xml:space="preserve"> </w:t>
      </w:r>
      <w:r>
        <w:t xml:space="preserve">cutlery 2023) as the actual piecemeal approach taken instead of a full ban.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4"/>
    <w:bookmarkStart w:id="45" w:name="X4a7f190321925c0d414c56b799ac27fb4fe61d5"/>
    <w:p>
      <w:pPr>
        <w:pStyle w:val="Heading3"/>
      </w:pPr>
      <w:r>
        <w:t xml:space="preserve">F2 — Previous PMBs to restrict fireworks sales, and why they failed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repeated Fireworks Bills; Fireworks Act 2003; petitions debates; ministerial</w:t>
      </w:r>
      <w:r>
        <w:t xml:space="preserve"> </w:t>
      </w:r>
      <w:r>
        <w:t xml:space="preserve">objections on enforcement.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5"/>
    <w:bookmarkStart w:id="46" w:name="X8cf9fa72019c273cd7fcec38b165c684122e10a"/>
    <w:p>
      <w:pPr>
        <w:pStyle w:val="Heading3"/>
      </w:pPr>
      <w:r>
        <w:t xml:space="preserve">F3 — A law making landlords accept tenants with pets — has this been tried?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the Dogs and Domestic Animals Bill (Rosindell); pet clauses in the Renters (Reform)</w:t>
      </w:r>
      <w:r>
        <w:t xml:space="preserve"> </w:t>
      </w:r>
      <w:r>
        <w:t xml:space="preserve">Bill 2023;</w:t>
      </w:r>
      <w:r>
        <w:t xml:space="preserve"> </w:t>
      </w:r>
      <w:r>
        <w:rPr>
          <w:bCs/>
          <w:b/>
        </w:rPr>
        <w:t xml:space="preserve">outcome confirmed</w:t>
      </w:r>
      <w:r>
        <w:t xml:space="preserve"> </w:t>
      </w:r>
      <w:r>
        <w:t xml:space="preserve">— absorbed into and enacted via the Renters’ Rights Act 2025.</w:t>
      </w:r>
      <w:r>
        <w:t xml:space="preserve"> </w:t>
      </w:r>
      <w:r>
        <w:rPr>
          <w:bCs/>
          <w:b/>
        </w:rPr>
        <w:t xml:space="preserve">Checked</w:t>
      </w:r>
      <w:r>
        <w:t xml:space="preserve">, consistent with A1/D1 above.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6"/>
    <w:bookmarkStart w:id="47" w:name="X047d92307f4d7d03e5a503444b0c07db59c2e48"/>
    <w:p>
      <w:pPr>
        <w:pStyle w:val="Heading3"/>
      </w:pPr>
      <w:r>
        <w:t xml:space="preserve">F4 — Attempts since 2010 to introduce PR for Westminster elections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various PMB/ten-minute-rule attempts; the Parliamentary Voting System and</w:t>
      </w:r>
      <w:r>
        <w:t xml:space="preserve"> </w:t>
      </w:r>
      <w:r>
        <w:t xml:space="preserve">Constituencies Act 2011 (the AV referendum, a related but distinct reform); relevant divisions.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bookmarkEnd w:id="47"/>
    <w:bookmarkStart w:id="48" w:name="X55bb70006cd650bfe1ac57974c5058c4d533154"/>
    <w:p>
      <w:pPr>
        <w:pStyle w:val="Heading3"/>
      </w:pPr>
      <w:r>
        <w:t xml:space="preserve">F5 — Has Parliament tried to make first aid training compulsory in schools?</w:t>
      </w:r>
    </w:p>
    <w:p>
      <w:pPr>
        <w:pStyle w:val="FirstParagraph"/>
      </w:pPr>
      <w:r>
        <w:rPr>
          <w:bCs/>
          <w:b/>
        </w:rPr>
        <w:t xml:space="preserve">Proposed:</w:t>
      </w:r>
      <w:r>
        <w:t xml:space="preserve"> </w:t>
      </w:r>
      <w:r>
        <w:t xml:space="preserve">the Emergency First Aid Education Bill 2015 (talked out); statutory RSHE from 2020</w:t>
      </w:r>
      <w:r>
        <w:t xml:space="preserve"> </w:t>
      </w:r>
      <w:r>
        <w:t xml:space="preserve">under the Children and Social Work Act 2017 s.34, as the eventual different-shaped outcome.</w:t>
      </w:r>
      <w:r>
        <w:t xml:space="preserve"> </w:t>
      </w:r>
      <w:r>
        <w:rPr>
          <w:bCs/>
          <w:b/>
        </w:rPr>
        <w:t xml:space="preserve">Stable.</w:t>
      </w:r>
    </w:p>
    <w:p>
      <w:pPr>
        <w:pStyle w:val="BodyText"/>
      </w:pPr>
      <w:r>
        <w:rPr>
          <w:bCs/>
          <w:b/>
        </w:rPr>
        <w:t xml:space="preserve">Your 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c065bb07039475c98dff71070394aa5579f2419"/>
    <w:p>
      <w:pPr>
        <w:pStyle w:val="Heading2"/>
      </w:pPr>
      <w:r>
        <w:t xml:space="preserve">Still outstanding — TODO, not yet drafted (flagging rather than guessing)</w:t>
      </w:r>
    </w:p>
    <w:p>
      <w:pPr>
        <w:pStyle w:val="FirstParagraph"/>
      </w:pPr>
      <w:r>
        <w:rPr>
          <w:bCs/>
          <w:b/>
        </w:rPr>
        <w:t xml:space="preserve">K1</w:t>
      </w:r>
      <w:r>
        <w:t xml:space="preserve"> </w:t>
      </w:r>
      <w:r>
        <w:t xml:space="preserve">(</w:t>
      </w:r>
      <w:r>
        <w:t xml:space="preserve">“</w:t>
      </w:r>
      <w:r>
        <w:t xml:space="preserve">remove the no-fault eviction route — which exact provision do I amend?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K2</w:t>
      </w:r>
      <w:r>
        <w:t xml:space="preserve"> </w:t>
      </w:r>
      <w:r>
        <w:t xml:space="preserve">(</w:t>
      </w:r>
      <w:r>
        <w:t xml:space="preserve">“</w:t>
      </w:r>
      <w:r>
        <w:t xml:space="preserve">add a statutory duty of candour for public bodies — where does it slot in?</w:t>
      </w:r>
      <w:r>
        <w:t xml:space="preserve">”</w:t>
      </w:r>
      <w:r>
        <w:t xml:space="preserve">) were left as</w:t>
      </w:r>
      <w:r>
        <w:t xml:space="preserve"> </w:t>
      </w:r>
      <w:r>
        <w:t xml:space="preserve">placeholders pending validation. Both are now answerable from work already done above and in the</w:t>
      </w:r>
      <w:r>
        <w:t xml:space="preserve"> </w:t>
      </w:r>
      <w:r>
        <w:t xml:space="preserve">B-archetype review: K1 → HA 1988 s.21, now repealed by the Renters’ Rights Act 2025 (the exact</w:t>
      </w:r>
      <w:r>
        <w:t xml:space="preserve"> </w:t>
      </w:r>
      <w:r>
        <w:t xml:space="preserve">provision to point at going forward is the 2025 Act’s repealing section, not s.21 itself); K2 →</w:t>
      </w:r>
      <w:r>
        <w:t xml:space="preserve"> </w:t>
      </w:r>
      <w:r>
        <w:t xml:space="preserve">the existing statutory duty in the Health and Social Care Act 2008 (Regulated Activities) Regs</w:t>
      </w:r>
      <w:r>
        <w:t xml:space="preserve"> </w:t>
      </w:r>
      <w:r>
        <w:t xml:space="preserve">2014 reg 20, with the Public Office (Accountability) Bill as the live vehicle for extending it —</w:t>
      </w:r>
      <w:r>
        <w:t xml:space="preserve"> </w:t>
      </w:r>
      <w:r>
        <w:t xml:space="preserve">still a Bill, carried into the current session, not yet law as of this drafting.</w:t>
      </w:r>
    </w:p>
    <w:p>
      <w:pPr>
        <w:pStyle w:val="BodyText"/>
      </w:pPr>
      <w:r>
        <w:rPr>
          <w:bCs/>
          <w:b/>
        </w:rPr>
        <w:t xml:space="preserve">Your notes on K1/K2: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what-to-do-with-this-once-reviewed"/>
    <w:p>
      <w:pPr>
        <w:pStyle w:val="Heading2"/>
      </w:pPr>
      <w:r>
        <w:t xml:space="preserve">What to do with this once reviewed</w:t>
      </w:r>
    </w:p>
    <w:p>
      <w:pPr>
        <w:pStyle w:val="FirstParagraph"/>
      </w:pPr>
      <w:r>
        <w:t xml:space="preserve">Mark each entry, note any corrections, and send it back — I’ll fold your corrections into</w:t>
      </w:r>
      <w:r>
        <w:t xml:space="preserve"> </w:t>
      </w:r>
      <w:r>
        <w:rPr>
          <w:rStyle w:val="VerbatimChar"/>
        </w:rPr>
        <w:t xml:space="preserve">GOLD_QUERIES.md</w:t>
      </w:r>
      <w:r>
        <w:t xml:space="preserve"> </w:t>
      </w:r>
      <w:r>
        <w:t xml:space="preserve">and hand the updated file to the search thread so it can finally take a</w:t>
      </w:r>
      <w:r>
        <w:t xml:space="preserve"> </w:t>
      </w:r>
      <w:r>
        <w:t xml:space="preserve">trustworthy baseline. Archetypes G, H, I (the</w:t>
      </w:r>
      <w:r>
        <w:t xml:space="preserve"> </w:t>
      </w:r>
      <w:r>
        <w:t xml:space="preserve">“</w:t>
      </w:r>
      <w:r>
        <w:t xml:space="preserve">principle</w:t>
      </w:r>
      <w:r>
        <w:t xml:space="preserve">”</w:t>
      </w:r>
      <w:r>
        <w:t xml:space="preserve"> </w:t>
      </w:r>
      <w:r>
        <w:t xml:space="preserve">streams) are deliberately not in this</w:t>
      </w:r>
      <w:r>
        <w:t xml:space="preserve"> </w:t>
      </w:r>
      <w:r>
        <w:t xml:space="preserve">review — their success criteria can’t be set until the principle-retrieval method itself exists</w:t>
      </w:r>
      <w:r>
        <w:t xml:space="preserve"> </w:t>
      </w:r>
      <w:r>
        <w:t xml:space="preserve">to react to, which is still unbuilt.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2026-08-06T04:41:01Z</dcterms:created>
  <dcterms:modified xsi:type="dcterms:W3CDTF">2026-08-06T04:41:01Z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