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74E8A" w14:textId="77777777" w:rsidR="004F0705" w:rsidRPr="004F0705" w:rsidRDefault="004F0705" w:rsidP="004F0705">
      <w:r w:rsidRPr="004F0705">
        <w:rPr>
          <w:b/>
          <w:bCs/>
        </w:rPr>
        <w:t>A probabilistic (soft) people-and-organisations graph is not only viable — it is the right design for Scrutinise.</w:t>
      </w:r>
      <w:r w:rsidRPr="004F0705">
        <w:t xml:space="preserve"> Hard “certainties” from whipped votes are noisy; a graph of graded, evidence-backed guesses (with confidence, provenance, and time decay) is more useful for the political-risk pass already scoped in the strategy document (§9.2 and the Lex deepening consumer). It ranks likely supporters/opponents, surfaces bridge actors, and lets the synthesis layer say “high-confidence opposition from X on these grounds” rather than inventing certainty. The binding constraint remains recall and coverage of the underlying signals, not the graph formalism.</w:t>
      </w:r>
    </w:p>
    <w:p w14:paraId="5F7CEBC2" w14:textId="77777777" w:rsidR="004F0705" w:rsidRPr="004F0705" w:rsidRDefault="004F0705" w:rsidP="004F0705">
      <w:r w:rsidRPr="004F0705">
        <w:t>Your existing assets already give you a strong base: 2.53 M division-vote rows, members’ interests, Hansard/debates, committee evidence, early-day motions, written/oral questions, bills/amendments, and the typed streams (impact assessments, consultations). Vector search is live across the corpus, so embedding-based soft signals are essentially free at query time. The goal is to add cheap, original edges that survive whip noise and formal language.</w:t>
      </w:r>
    </w:p>
    <w:p w14:paraId="566D5355" w14:textId="77777777" w:rsidR="004F0705" w:rsidRPr="004F0705" w:rsidRDefault="004F0705" w:rsidP="004F0705">
      <w:pPr>
        <w:rPr>
          <w:b/>
          <w:bCs/>
        </w:rPr>
      </w:pPr>
      <w:r w:rsidRPr="004F0705">
        <w:rPr>
          <w:b/>
          <w:bCs/>
        </w:rPr>
        <w:t>High-leverage, low-cost signals that lower (or raise) the odds of a held position</w:t>
      </w:r>
    </w:p>
    <w:p w14:paraId="3B22C643" w14:textId="77777777" w:rsidR="004F0705" w:rsidRPr="004F0705" w:rsidRDefault="004F0705" w:rsidP="004F0705">
      <w:r w:rsidRPr="004F0705">
        <w:t>Prioritise signals that are (a) already in the corpus or freely scrapeable, (b) less whipped than floor votes, and (c) can be turned into edges with a one-off or lightly automated pipeline.</w:t>
      </w:r>
    </w:p>
    <w:p w14:paraId="401CBEC6" w14:textId="77777777" w:rsidR="004F0705" w:rsidRPr="004F0705" w:rsidRDefault="004F0705" w:rsidP="004F0705">
      <w:pPr>
        <w:numPr>
          <w:ilvl w:val="0"/>
          <w:numId w:val="1"/>
        </w:numPr>
      </w:pPr>
      <w:r w:rsidRPr="004F0705">
        <w:rPr>
          <w:b/>
          <w:bCs/>
        </w:rPr>
        <w:t>Free-vote, rebellion, and amendment behaviour (higher weight than whipped votes)</w:t>
      </w:r>
      <w:r w:rsidRPr="004F0705">
        <w:t xml:space="preserve"> Weight free votes and recorded rebellions far more heavily. Track who tables, co-sponsors, or votes for wrecking/strengthening amendments (use edit-distance or simple LLM classification of amendment text against the parent bill — DocuToads-style methods exist and are cheap). EDMs are especially useful: signatures are voluntary signalling. These already live in the corpus (bills-api, early-day-motions, divisions).</w:t>
      </w:r>
    </w:p>
    <w:p w14:paraId="29CF81E1" w14:textId="77777777" w:rsidR="004F0705" w:rsidRPr="004F0705" w:rsidRDefault="004F0705" w:rsidP="004F0705">
      <w:pPr>
        <w:numPr>
          <w:ilvl w:val="0"/>
          <w:numId w:val="1"/>
        </w:numPr>
      </w:pPr>
      <w:r w:rsidRPr="004F0705">
        <w:rPr>
          <w:b/>
          <w:bCs/>
        </w:rPr>
        <w:t>Committee “backstage” behaviour</w:t>
      </w:r>
      <w:r w:rsidRPr="004F0705">
        <w:t xml:space="preserve"> Plenary language is theatrical; committee work is less so. Extract: questions asked of witnesses, tone/stance in oral evidence, written submissions from the MP or their staff, and how they treat pro/anti witnesses. The Spanish parliamentary work on front-stage vs back-stage sentiment supports this. Committee evidence and reports are already typed and indexed.</w:t>
      </w:r>
    </w:p>
    <w:p w14:paraId="18B66750" w14:textId="77777777" w:rsidR="004F0705" w:rsidRPr="004F0705" w:rsidRDefault="004F0705" w:rsidP="004F0705">
      <w:pPr>
        <w:numPr>
          <w:ilvl w:val="0"/>
          <w:numId w:val="1"/>
        </w:numPr>
      </w:pPr>
      <w:r w:rsidRPr="004F0705">
        <w:rPr>
          <w:b/>
          <w:bCs/>
        </w:rPr>
        <w:t>APPG membership and funding</w:t>
      </w:r>
      <w:r w:rsidRPr="004F0705">
        <w:t xml:space="preserve"> All-Party Parliamentary Groups are voluntary affinity groups. Membership (and especially funded APPGs) is a soft prior on interest and likely position. Registers are published periodically as HTML/PDF; free scrapers and datasets already exist (TheyWorkForYou has begun exposing memberships; community JSON extracts appear regularly). Link MPs ↔ APPGs ↔ funders. This is one of the cleanest cheap organisational signals available.</w:t>
      </w:r>
    </w:p>
    <w:p w14:paraId="28A621FC" w14:textId="77777777" w:rsidR="004F0705" w:rsidRPr="004F0705" w:rsidRDefault="004F0705" w:rsidP="004F0705">
      <w:pPr>
        <w:numPr>
          <w:ilvl w:val="0"/>
          <w:numId w:val="1"/>
        </w:numPr>
      </w:pPr>
      <w:r w:rsidRPr="004F0705">
        <w:rPr>
          <w:b/>
          <w:bCs/>
        </w:rPr>
        <w:lastRenderedPageBreak/>
        <w:t>Declared interests, donations, and second jobs</w:t>
      </w:r>
      <w:r w:rsidRPr="004F0705">
        <w:t xml:space="preserve"> Members’ interests register is already ingested. Cross-reference with Electoral Commission donation data (public, bulk-downloadable) and Companies House. Build bipartite paths: MP ← donor/interest → organisation/sector. A path through a sector-aligned donor or outside interest raises the prior on related legislation. Several open tools (MPData, Milton Project-style registers, OC Intelligence patterns) already normalise these; you can mirror the joins cheaply.</w:t>
      </w:r>
    </w:p>
    <w:p w14:paraId="087283B0" w14:textId="77777777" w:rsidR="004F0705" w:rsidRPr="004F0705" w:rsidRDefault="004F0705" w:rsidP="004F0705">
      <w:pPr>
        <w:numPr>
          <w:ilvl w:val="0"/>
          <w:numId w:val="1"/>
        </w:numPr>
      </w:pPr>
      <w:r w:rsidRPr="004F0705">
        <w:rPr>
          <w:b/>
          <w:bCs/>
        </w:rPr>
        <w:t>Speech and submission embeddings + seed prototypes</w:t>
      </w:r>
      <w:r w:rsidRPr="004F0705">
        <w:t xml:space="preserve"> Because vector search is live, embed (or re-use existing embeddings of) speeches, written questions, and committee submissions. Maintain small sets of “prototype” texts: known activist/lobby briefs, charity position papers, think-tank reports, or even newspaper leader columns on the same issue. Cosine similarity (or a lightweight classifier) gives a continuous stance score. Phrase/n-gram mining for distinctive activist language (as you suggested) works as a fast filter before embedding; copied phrasing from lobby packs into MP speech or social posts is a strong, detectable signal when it appears.</w:t>
      </w:r>
    </w:p>
    <w:p w14:paraId="2C32A0D3" w14:textId="77777777" w:rsidR="004F0705" w:rsidRPr="004F0705" w:rsidRDefault="004F0705" w:rsidP="004F0705">
      <w:pPr>
        <w:numPr>
          <w:ilvl w:val="0"/>
          <w:numId w:val="1"/>
        </w:numPr>
      </w:pPr>
      <w:r w:rsidRPr="004F0705">
        <w:rPr>
          <w:b/>
          <w:bCs/>
        </w:rPr>
        <w:t>Written and oral questions as revealed attention</w:t>
      </w:r>
      <w:r w:rsidRPr="004F0705">
        <w:t xml:space="preserve"> Volume, framing, and follow-ups on a topic are weaker than votes but still informative, especially when they persist across sessions. The LDA question corpora are already present.</w:t>
      </w:r>
    </w:p>
    <w:p w14:paraId="2D5086BC" w14:textId="77777777" w:rsidR="004F0705" w:rsidRPr="004F0705" w:rsidRDefault="004F0705" w:rsidP="004F0705">
      <w:pPr>
        <w:numPr>
          <w:ilvl w:val="0"/>
          <w:numId w:val="1"/>
        </w:numPr>
      </w:pPr>
      <w:r w:rsidRPr="004F0705">
        <w:rPr>
          <w:b/>
          <w:bCs/>
        </w:rPr>
        <w:t>Organisational side (charities, regulators, media, journalists)</w:t>
      </w:r>
    </w:p>
    <w:p w14:paraId="054DAA19" w14:textId="77777777" w:rsidR="004F0705" w:rsidRPr="004F0705" w:rsidRDefault="004F0705" w:rsidP="004F0705">
      <w:pPr>
        <w:numPr>
          <w:ilvl w:val="1"/>
          <w:numId w:val="1"/>
        </w:numPr>
      </w:pPr>
      <w:r w:rsidRPr="004F0705">
        <w:t>Charity/NGO leanings are often explicit in committee evidence submissions and inquiry reports (already in corpus).</w:t>
      </w:r>
    </w:p>
    <w:p w14:paraId="0F8345B8" w14:textId="77777777" w:rsidR="004F0705" w:rsidRPr="004F0705" w:rsidRDefault="004F0705" w:rsidP="004F0705">
      <w:pPr>
        <w:numPr>
          <w:ilvl w:val="1"/>
          <w:numId w:val="1"/>
        </w:numPr>
      </w:pPr>
      <w:r w:rsidRPr="004F0705">
        <w:t>Major newspapers and their journalists have public editorial lines; a lightweight mapping (journalist → outlet → known stance) plus byline search can seed organisational nodes.</w:t>
      </w:r>
    </w:p>
    <w:p w14:paraId="3A166602" w14:textId="77777777" w:rsidR="004F0705" w:rsidRPr="004F0705" w:rsidRDefault="004F0705" w:rsidP="004F0705">
      <w:pPr>
        <w:numPr>
          <w:ilvl w:val="1"/>
          <w:numId w:val="1"/>
        </w:numPr>
      </w:pPr>
      <w:r w:rsidRPr="004F0705">
        <w:t>Quangos, regulators, and sector bodies appear in guidance, impact assessments, and evidence; treat their published positions as organisational anchors.</w:t>
      </w:r>
    </w:p>
    <w:p w14:paraId="08541D1E" w14:textId="77777777" w:rsidR="004F0705" w:rsidRPr="004F0705" w:rsidRDefault="004F0705" w:rsidP="004F0705">
      <w:pPr>
        <w:numPr>
          <w:ilvl w:val="1"/>
          <w:numId w:val="1"/>
        </w:numPr>
      </w:pPr>
      <w:r w:rsidRPr="004F0705">
        <w:t>For orgs without direct speech, use the same embedding-prototype method against their public reports or evidence.</w:t>
      </w:r>
    </w:p>
    <w:p w14:paraId="1DEDB8D4" w14:textId="77777777" w:rsidR="004F0705" w:rsidRPr="004F0705" w:rsidRDefault="004F0705" w:rsidP="004F0705">
      <w:pPr>
        <w:numPr>
          <w:ilvl w:val="0"/>
          <w:numId w:val="1"/>
        </w:numPr>
      </w:pPr>
      <w:r w:rsidRPr="004F0705">
        <w:rPr>
          <w:b/>
          <w:bCs/>
        </w:rPr>
        <w:t>Temporal and cross-domain transfer</w:t>
      </w:r>
      <w:r w:rsidRPr="004F0705">
        <w:t xml:space="preserve"> Positions evolve. Treat an actor’s voting/speech trajectory on related issues as a multi-aspect time series (techniques from recent Brazilian and network papers). The mechanism/principle lens already scoped in the strategy (§9.3) is perfect here: an MP who consistently supports “duty-to-report + independent oversight” mechanisms is more likely to support a new one even in a different subject domain. This is original relative to pure subject-matching search.</w:t>
      </w:r>
    </w:p>
    <w:p w14:paraId="43D867F2" w14:textId="77777777" w:rsidR="004F0705" w:rsidRPr="004F0705" w:rsidRDefault="004F0705" w:rsidP="004F0705">
      <w:pPr>
        <w:numPr>
          <w:ilvl w:val="0"/>
          <w:numId w:val="1"/>
        </w:numPr>
      </w:pPr>
      <w:r w:rsidRPr="004F0705">
        <w:rPr>
          <w:b/>
          <w:bCs/>
        </w:rPr>
        <w:lastRenderedPageBreak/>
        <w:t>Network motifs and co-appearance</w:t>
      </w:r>
      <w:r w:rsidRPr="004F0705">
        <w:t xml:space="preserve"> Co-signing EDMs, co-tabling amendments, repeated committee pairings, or consistent co-voting on free votes form natural communities. Simple NetworkX (or free Neo4j) community detection or random-walk labelling (seed a few known hard positions, propagate soft labels) is cheap and effective. Semi-supervised graph labelling methods already demonstrated on roll-call data transfer well.</w:t>
      </w:r>
    </w:p>
    <w:p w14:paraId="60187AF7" w14:textId="77777777" w:rsidR="004F0705" w:rsidRPr="004F0705" w:rsidRDefault="004F0705" w:rsidP="004F0705">
      <w:r w:rsidRPr="004F0705">
        <w:t>Avoid over-reliance on pure party membership or whipped votes; use them only as weak priors that are easily overridden by the signals above.</w:t>
      </w:r>
    </w:p>
    <w:p w14:paraId="26323D95" w14:textId="77777777" w:rsidR="004F0705" w:rsidRPr="004F0705" w:rsidRDefault="004F0705" w:rsidP="004F0705">
      <w:pPr>
        <w:rPr>
          <w:b/>
          <w:bCs/>
        </w:rPr>
      </w:pPr>
      <w:r w:rsidRPr="004F0705">
        <w:rPr>
          <w:b/>
          <w:bCs/>
        </w:rPr>
        <w:t>Implementation path that stays cheap and fast for a vibe coder</w:t>
      </w:r>
    </w:p>
    <w:p w14:paraId="70714D86" w14:textId="77777777" w:rsidR="004F0705" w:rsidRPr="004F0705" w:rsidRDefault="004F0705" w:rsidP="004F0705">
      <w:pPr>
        <w:numPr>
          <w:ilvl w:val="0"/>
          <w:numId w:val="2"/>
        </w:numPr>
      </w:pPr>
      <w:r w:rsidRPr="004F0705">
        <w:t>Start with the data already inside the corpus + the three public registers (APPGs, interests, Electoral Commission). One weekend of scraping/normalising gives the first organisational layer.</w:t>
      </w:r>
    </w:p>
    <w:p w14:paraId="45B80A10" w14:textId="77777777" w:rsidR="004F0705" w:rsidRPr="004F0705" w:rsidRDefault="004F0705" w:rsidP="004F0705">
      <w:pPr>
        <w:numPr>
          <w:ilvl w:val="0"/>
          <w:numId w:val="2"/>
        </w:numPr>
      </w:pPr>
      <w:r w:rsidRPr="004F0705">
        <w:t>Re-use the existing vector index for stance prototypes; no new embedding job required for pilots.</w:t>
      </w:r>
    </w:p>
    <w:p w14:paraId="4066CF5F" w14:textId="77777777" w:rsidR="004F0705" w:rsidRPr="004F0705" w:rsidRDefault="004F0705" w:rsidP="004F0705">
      <w:pPr>
        <w:numPr>
          <w:ilvl w:val="0"/>
          <w:numId w:val="2"/>
        </w:numPr>
      </w:pPr>
      <w:r w:rsidRPr="004F0705">
        <w:t>Batch a small open or cheap LLM (or even Grok itself in a loop) only on the highest-value texts (recent free-vote speeches, key committee sessions, amendment texts). Flag-gate everything.</w:t>
      </w:r>
    </w:p>
    <w:p w14:paraId="432E34E5" w14:textId="77777777" w:rsidR="004F0705" w:rsidRPr="004F0705" w:rsidRDefault="004F0705" w:rsidP="004F0705">
      <w:pPr>
        <w:numPr>
          <w:ilvl w:val="0"/>
          <w:numId w:val="2"/>
        </w:numPr>
      </w:pPr>
      <w:r w:rsidRPr="004F0705">
        <w:t xml:space="preserve">Store edges as (actor, target_idea_or_bill_or_mechanism, stance_score </w:t>
      </w:r>
      <w:r w:rsidRPr="004F0705">
        <w:rPr>
          <w:rFonts w:ascii="Cambria Math" w:hAnsi="Cambria Math" w:cs="Cambria Math"/>
        </w:rPr>
        <w:t>∈</w:t>
      </w:r>
      <w:r w:rsidRPr="004F0705">
        <w:t xml:space="preserve"> [-1,1], confidence, evidence_ids, timestamp, source_type). This is exactly the </w:t>
      </w:r>
      <w:r w:rsidRPr="004F0705">
        <w:rPr>
          <w:rFonts w:ascii="Aptos" w:hAnsi="Aptos" w:cs="Aptos"/>
        </w:rPr>
        <w:t>“</w:t>
      </w:r>
      <w:r w:rsidRPr="004F0705">
        <w:t>guesses with provenance</w:t>
      </w:r>
      <w:r w:rsidRPr="004F0705">
        <w:rPr>
          <w:rFonts w:ascii="Aptos" w:hAnsi="Aptos" w:cs="Aptos"/>
        </w:rPr>
        <w:t>”</w:t>
      </w:r>
      <w:r w:rsidRPr="004F0705">
        <w:t xml:space="preserve"> model.</w:t>
      </w:r>
    </w:p>
    <w:p w14:paraId="5EB016AC" w14:textId="77777777" w:rsidR="004F0705" w:rsidRPr="004F0705" w:rsidRDefault="004F0705" w:rsidP="004F0705">
      <w:pPr>
        <w:numPr>
          <w:ilvl w:val="0"/>
          <w:numId w:val="2"/>
        </w:numPr>
      </w:pPr>
      <w:r w:rsidRPr="004F0705">
        <w:t>Run the first consumer exactly as already designed: the political-risk pass in Lex deepening. Minutes of latency are acceptable there, so you can afford multi-hop or larger candidate sets.</w:t>
      </w:r>
    </w:p>
    <w:p w14:paraId="2462AA64" w14:textId="77777777" w:rsidR="004F0705" w:rsidRPr="004F0705" w:rsidRDefault="004F0705" w:rsidP="004F0705">
      <w:pPr>
        <w:numPr>
          <w:ilvl w:val="0"/>
          <w:numId w:val="2"/>
        </w:numPr>
      </w:pPr>
      <w:r w:rsidRPr="004F0705">
        <w:t>Measure against the gold set (or a small hand-labelled set of known controversial bills) before promoting any edge type. The strategy’s governing principles still apply.</w:t>
      </w:r>
    </w:p>
    <w:p w14:paraId="782F7300" w14:textId="77777777" w:rsidR="004F0705" w:rsidRPr="004F0705" w:rsidRDefault="004F0705" w:rsidP="004F0705">
      <w:pPr>
        <w:rPr>
          <w:b/>
          <w:bCs/>
        </w:rPr>
      </w:pPr>
      <w:r w:rsidRPr="004F0705">
        <w:rPr>
          <w:b/>
          <w:bCs/>
        </w:rPr>
        <w:t>What to do with the graph once it exists (the standout value)</w:t>
      </w:r>
    </w:p>
    <w:p w14:paraId="4F5BBB70" w14:textId="77777777" w:rsidR="004F0705" w:rsidRPr="004F0705" w:rsidRDefault="004F0705" w:rsidP="004F0705">
      <w:pPr>
        <w:numPr>
          <w:ilvl w:val="0"/>
          <w:numId w:val="3"/>
        </w:numPr>
      </w:pPr>
      <w:r w:rsidRPr="004F0705">
        <w:rPr>
          <w:b/>
          <w:bCs/>
        </w:rPr>
        <w:t>Political-risk briefing</w:t>
      </w:r>
      <w:r w:rsidRPr="004F0705">
        <w:t>: For any idea or draft, return ranked likely supporters/opponents with evidence snippets, confidence, and the specific grounds (speech, amendment, APPG, donor path). This is the “who will kick up a fuss, and why” already scoped.</w:t>
      </w:r>
    </w:p>
    <w:p w14:paraId="0D329C05" w14:textId="77777777" w:rsidR="004F0705" w:rsidRPr="004F0705" w:rsidRDefault="004F0705" w:rsidP="004F0705">
      <w:pPr>
        <w:numPr>
          <w:ilvl w:val="0"/>
          <w:numId w:val="3"/>
        </w:numPr>
      </w:pPr>
      <w:r w:rsidRPr="004F0705">
        <w:rPr>
          <w:b/>
          <w:bCs/>
        </w:rPr>
        <w:t>Coalition and bridge discovery</w:t>
      </w:r>
      <w:r w:rsidRPr="004F0705">
        <w:t>: Surface high-betweenness actors or cross-party APPG members who can be outreach targets. Identify potential co-sponsors early.</w:t>
      </w:r>
    </w:p>
    <w:p w14:paraId="6998279B" w14:textId="77777777" w:rsidR="004F0705" w:rsidRPr="004F0705" w:rsidRDefault="004F0705" w:rsidP="004F0705">
      <w:pPr>
        <w:numPr>
          <w:ilvl w:val="0"/>
          <w:numId w:val="3"/>
        </w:numPr>
      </w:pPr>
      <w:r w:rsidRPr="004F0705">
        <w:rPr>
          <w:b/>
          <w:bCs/>
        </w:rPr>
        <w:lastRenderedPageBreak/>
        <w:t>Opposition strength and scenario simulation</w:t>
      </w:r>
      <w:r w:rsidRPr="004F0705">
        <w:t>: Soft aggregation of stance scores gives a quick “expected resistance surface.” Useful for reformers building a legislative pipeline.</w:t>
      </w:r>
    </w:p>
    <w:p w14:paraId="0D346391" w14:textId="77777777" w:rsidR="004F0705" w:rsidRPr="004F0705" w:rsidRDefault="004F0705" w:rsidP="004F0705">
      <w:pPr>
        <w:numPr>
          <w:ilvl w:val="0"/>
          <w:numId w:val="3"/>
        </w:numPr>
      </w:pPr>
      <w:r w:rsidRPr="004F0705">
        <w:rPr>
          <w:b/>
          <w:bCs/>
        </w:rPr>
        <w:t>Mechanism transfer</w:t>
      </w:r>
      <w:r w:rsidRPr="004F0705">
        <w:t>: “Actors who supported analogous levers in other domains.” This is distinctive.</w:t>
      </w:r>
    </w:p>
    <w:p w14:paraId="2DDC67A0" w14:textId="77777777" w:rsidR="004F0705" w:rsidRPr="004F0705" w:rsidRDefault="004F0705" w:rsidP="004F0705">
      <w:pPr>
        <w:numPr>
          <w:ilvl w:val="0"/>
          <w:numId w:val="3"/>
        </w:numPr>
      </w:pPr>
      <w:r w:rsidRPr="004F0705">
        <w:rPr>
          <w:b/>
          <w:bCs/>
        </w:rPr>
        <w:t>Interactive battlefield map</w:t>
      </w:r>
      <w:r w:rsidRPr="004F0705">
        <w:t>: A query-time visualisation (force-directed or ideological compass axes generated per query, as in some European parliamentary RAG systems) that legislative teams would actually open. Drill-down to the underlying corpus sections.</w:t>
      </w:r>
    </w:p>
    <w:p w14:paraId="7B803692" w14:textId="77777777" w:rsidR="004F0705" w:rsidRPr="004F0705" w:rsidRDefault="004F0705" w:rsidP="004F0705">
      <w:pPr>
        <w:numPr>
          <w:ilvl w:val="0"/>
          <w:numId w:val="3"/>
        </w:numPr>
      </w:pPr>
      <w:r w:rsidRPr="004F0705">
        <w:rPr>
          <w:b/>
          <w:bCs/>
        </w:rPr>
        <w:t>Agentic loops</w:t>
      </w:r>
      <w:r w:rsidRPr="004F0705">
        <w:t>: The graph becomes another side-rail (like statistics or citation graphs). An agent can ask “who else should we brief or pre-empt?” and retrieve grounded suggestions.</w:t>
      </w:r>
    </w:p>
    <w:p w14:paraId="00BA69E4" w14:textId="77777777" w:rsidR="004F0705" w:rsidRPr="004F0705" w:rsidRDefault="004F0705" w:rsidP="004F0705">
      <w:pPr>
        <w:numPr>
          <w:ilvl w:val="0"/>
          <w:numId w:val="3"/>
        </w:numPr>
      </w:pPr>
      <w:r w:rsidRPr="004F0705">
        <w:rPr>
          <w:b/>
          <w:bCs/>
        </w:rPr>
        <w:t>Feedback loop</w:t>
      </w:r>
      <w:r w:rsidRPr="004F0705">
        <w:t>: Lex user critiques of briefings (already being captured) can refine the soft scores.</w:t>
      </w:r>
    </w:p>
    <w:p w14:paraId="0A7D0435" w14:textId="77777777" w:rsidR="004F0705" w:rsidRPr="004F0705" w:rsidRDefault="004F0705" w:rsidP="004F0705">
      <w:r w:rsidRPr="004F0705">
        <w:t>A pure certainty graph would be sparse and brittle. A probabilistic one with explicit confidence and provenance is more honest, more useful for ranking and triage, and still fully grounded in the corpus. It also plays to Scrutinise’s existing strengths (hybrid retrieval + synthesis that never claims what the data did not return).</w:t>
      </w:r>
    </w:p>
    <w:p w14:paraId="79171774" w14:textId="77777777" w:rsidR="004F0705" w:rsidRPr="004F0705" w:rsidRDefault="004F0705" w:rsidP="004F0705">
      <w:r w:rsidRPr="004F0705">
        <w:t>The most original, high-leverage moves that are still cheap are: (1) APPG + donor/interest bipartite layers, (2) embedding prototypes against activist/lobby language, (3) amendment and free-vote weighting, and (4) mechanism-transfer edges. Everything else is refinement. Build the soft edges first, wire them into the already-planned political-risk pass, and the standout value for people constructing legislative pipelines appears immediately.</w:t>
      </w:r>
    </w:p>
    <w:p w14:paraId="7F051DC0" w14:textId="77777777" w:rsidR="002F1CBE" w:rsidRDefault="002F1CBE"/>
    <w:sectPr w:rsidR="002F1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EAE"/>
    <w:multiLevelType w:val="multilevel"/>
    <w:tmpl w:val="EFBC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9501CF"/>
    <w:multiLevelType w:val="multilevel"/>
    <w:tmpl w:val="22F2F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C95701"/>
    <w:multiLevelType w:val="multilevel"/>
    <w:tmpl w:val="F016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609619">
    <w:abstractNumId w:val="1"/>
  </w:num>
  <w:num w:numId="2" w16cid:durableId="1697803884">
    <w:abstractNumId w:val="2"/>
  </w:num>
  <w:num w:numId="3" w16cid:durableId="74519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705"/>
    <w:rsid w:val="002F1CBE"/>
    <w:rsid w:val="00306764"/>
    <w:rsid w:val="004F0705"/>
    <w:rsid w:val="006F2E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3C9CB"/>
  <w15:chartTrackingRefBased/>
  <w15:docId w15:val="{0D00C2E0-7FE0-4D0D-85F3-137BA8B09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705"/>
    <w:rPr>
      <w:rFonts w:eastAsiaTheme="majorEastAsia" w:cstheme="majorBidi"/>
      <w:color w:val="272727" w:themeColor="text1" w:themeTint="D8"/>
    </w:rPr>
  </w:style>
  <w:style w:type="paragraph" w:styleId="Title">
    <w:name w:val="Title"/>
    <w:basedOn w:val="Normal"/>
    <w:next w:val="Normal"/>
    <w:link w:val="TitleChar"/>
    <w:uiPriority w:val="10"/>
    <w:qFormat/>
    <w:rsid w:val="004F0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705"/>
    <w:pPr>
      <w:spacing w:before="160"/>
      <w:jc w:val="center"/>
    </w:pPr>
    <w:rPr>
      <w:i/>
      <w:iCs/>
      <w:color w:val="404040" w:themeColor="text1" w:themeTint="BF"/>
    </w:rPr>
  </w:style>
  <w:style w:type="character" w:customStyle="1" w:styleId="QuoteChar">
    <w:name w:val="Quote Char"/>
    <w:basedOn w:val="DefaultParagraphFont"/>
    <w:link w:val="Quote"/>
    <w:uiPriority w:val="29"/>
    <w:rsid w:val="004F0705"/>
    <w:rPr>
      <w:i/>
      <w:iCs/>
      <w:color w:val="404040" w:themeColor="text1" w:themeTint="BF"/>
    </w:rPr>
  </w:style>
  <w:style w:type="paragraph" w:styleId="ListParagraph">
    <w:name w:val="List Paragraph"/>
    <w:basedOn w:val="Normal"/>
    <w:uiPriority w:val="34"/>
    <w:qFormat/>
    <w:rsid w:val="004F0705"/>
    <w:pPr>
      <w:ind w:left="720"/>
      <w:contextualSpacing/>
    </w:pPr>
  </w:style>
  <w:style w:type="character" w:styleId="IntenseEmphasis">
    <w:name w:val="Intense Emphasis"/>
    <w:basedOn w:val="DefaultParagraphFont"/>
    <w:uiPriority w:val="21"/>
    <w:qFormat/>
    <w:rsid w:val="004F0705"/>
    <w:rPr>
      <w:i/>
      <w:iCs/>
      <w:color w:val="0F4761" w:themeColor="accent1" w:themeShade="BF"/>
    </w:rPr>
  </w:style>
  <w:style w:type="paragraph" w:styleId="IntenseQuote">
    <w:name w:val="Intense Quote"/>
    <w:basedOn w:val="Normal"/>
    <w:next w:val="Normal"/>
    <w:link w:val="IntenseQuoteChar"/>
    <w:uiPriority w:val="30"/>
    <w:qFormat/>
    <w:rsid w:val="004F0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705"/>
    <w:rPr>
      <w:i/>
      <w:iCs/>
      <w:color w:val="0F4761" w:themeColor="accent1" w:themeShade="BF"/>
    </w:rPr>
  </w:style>
  <w:style w:type="character" w:styleId="IntenseReference">
    <w:name w:val="Intense Reference"/>
    <w:basedOn w:val="DefaultParagraphFont"/>
    <w:uiPriority w:val="32"/>
    <w:qFormat/>
    <w:rsid w:val="004F07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1336</Words>
  <Characters>7620</Characters>
  <Application>Microsoft Office Word</Application>
  <DocSecurity>0</DocSecurity>
  <Lines>63</Lines>
  <Paragraphs>17</Paragraphs>
  <ScaleCrop>false</ScaleCrop>
  <Company/>
  <LinksUpToDate>false</LinksUpToDate>
  <CharactersWithSpaces>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Leach</dc:creator>
  <cp:keywords/>
  <dc:description/>
  <cp:lastModifiedBy>Charles Leach</cp:lastModifiedBy>
  <cp:revision>1</cp:revision>
  <dcterms:created xsi:type="dcterms:W3CDTF">2026-08-19T05:38:00Z</dcterms:created>
  <dcterms:modified xsi:type="dcterms:W3CDTF">2026-08-19T05:38:00Z</dcterms:modified>
</cp:coreProperties>
</file>