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jc w:val="center"/>
        <w:rPr/>
      </w:pPr>
      <w:r>
        <w:rPr>
          <w:b/>
          <w:bCs/>
          <w:color w:val="0E7490"/>
          <w:sz w:val="26"/>
          <w:szCs w:val="26"/>
        </w:rPr>
        <w:t>PROJE PLANI</w:t>
      </w:r>
    </w:p>
    <w:p>
      <w:pPr>
        <w:pStyle w:val="Normal"/>
        <w:spacing w:before="120" w:after="0"/>
        <w:jc w:val="center"/>
        <w:rPr/>
      </w:pPr>
      <w:r>
        <w:rPr>
          <w:b/>
          <w:bCs/>
          <w:color w:val="1E293B"/>
          <w:sz w:val="52"/>
          <w:szCs w:val="52"/>
        </w:rPr>
        <w:t>Kurumsal Due Diligence &amp; KYB Platformu</w:t>
      </w:r>
    </w:p>
    <w:p>
      <w:pPr>
        <w:pStyle w:val="Normal"/>
        <w:spacing w:before="80" w:after="0"/>
        <w:jc w:val="center"/>
        <w:rPr/>
      </w:pPr>
      <w:r>
        <w:rPr>
          <w:i/>
          <w:iCs/>
          <w:color w:val="64748B"/>
          <w:sz w:val="24"/>
          <w:szCs w:val="24"/>
        </w:rPr>
        <w:t>Çalışma kod adı: AEGIS</w:t>
      </w:r>
    </w:p>
    <w:p>
      <w:pPr>
        <w:pStyle w:val="Normal"/>
        <w:pBdr>
          <w:bottom w:val="single" w:sz="8" w:space="8" w:color="0E7490"/>
        </w:pBdr>
        <w:spacing w:before="60" w:after="0"/>
        <w:jc w:val="center"/>
        <w:rPr/>
      </w:pPr>
      <w:r>
        <w:rPr/>
      </w:r>
    </w:p>
    <w:p>
      <w:pPr>
        <w:pStyle w:val="Normal"/>
        <w:spacing w:before="260" w:after="0"/>
        <w:jc w:val="center"/>
        <w:rPr/>
      </w:pPr>
      <w:r>
        <w:rPr>
          <w:color w:val="475569"/>
          <w:sz w:val="22"/>
          <w:szCs w:val="22"/>
        </w:rPr>
        <w:t>Yaptırım / PEP taraması, gerçek faydalanıcı (UBO) tespiti ve</w:t>
      </w:r>
    </w:p>
    <w:p>
      <w:pPr>
        <w:pStyle w:val="Normal"/>
        <w:spacing w:before="20" w:after="0"/>
        <w:jc w:val="center"/>
        <w:rPr/>
      </w:pPr>
      <w:r>
        <w:rPr>
          <w:color w:val="475569"/>
          <w:sz w:val="22"/>
          <w:szCs w:val="22"/>
        </w:rPr>
        <w:t>sürekli uyum izlemesi için yapay zekâ destekli SaaS</w:t>
      </w:r>
    </w:p>
    <w:p>
      <w:pPr>
        <w:pStyle w:val="Normal"/>
        <w:spacing w:before="900" w:after="0"/>
        <w:jc w:val="center"/>
        <w:rPr/>
      </w:pPr>
      <w:r>
        <w:rPr>
          <w:b/>
          <w:bCs/>
          <w:color w:val="1E293B"/>
          <w:sz w:val="20"/>
          <w:szCs w:val="20"/>
        </w:rPr>
        <w:t>Hazırlayan  ·  Scryne</w:t>
      </w:r>
    </w:p>
    <w:p>
      <w:pPr>
        <w:pStyle w:val="Normal"/>
        <w:spacing w:before="20" w:after="0"/>
        <w:jc w:val="center"/>
        <w:rPr/>
      </w:pPr>
      <w:r>
        <w:rPr>
          <w:color w:val="64748B"/>
          <w:sz w:val="19"/>
          <w:szCs w:val="19"/>
        </w:rPr>
        <w:t>Sürüm 1.0  ·  Temmuz 2026</w:t>
      </w:r>
    </w:p>
    <w:p>
      <w:pPr>
        <w:pStyle w:val="Normal"/>
        <w:spacing w:before="20" w:after="0"/>
        <w:jc w:val="center"/>
        <w:rPr/>
      </w:pPr>
      <w:r>
        <w:rPr>
          <w:i/>
          <w:iCs/>
          <w:color w:val="94A3B8"/>
          <w:sz w:val="17"/>
          <w:szCs w:val="17"/>
        </w:rPr>
        <w:t>Gizli — Yalnızca dahili kullanım</w:t>
      </w:r>
    </w:p>
    <w:p>
      <w:pPr>
        <w:pStyle w:val="Normal"/>
        <w:rPr/>
      </w:pPr>
      <w:r>
        <w:rPr/>
      </w:r>
      <w:r>
        <w:br w:type="page"/>
      </w:r>
    </w:p>
    <w:p>
      <w:pPr>
        <w:pStyle w:val="Normal"/>
        <w:spacing w:before="0" w:after="160"/>
        <w:rPr/>
      </w:pPr>
      <w:r>
        <w:rPr>
          <w:b/>
          <w:bCs/>
          <w:color w:val="1E293B"/>
          <w:sz w:val="32"/>
          <w:szCs w:val="32"/>
        </w:rPr>
        <w:t>İçindekiler</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r>
          <w:r>
            <w:rPr>
              <w:rStyle w:val="IndexLink"/>
            </w:rPr>
            <w:fldChar w:fldCharType="separate"/>
          </w:r>
          <w:hyperlink w:anchor="__RefHeading___Toc866_3654386526">
            <w:r>
              <w:rPr>
                <w:rStyle w:val="IndexLink"/>
              </w:rPr>
              <w:t>1. Yönetici Özeti</w:t>
              <w:tab/>
              <w:t>4</w:t>
            </w:r>
          </w:hyperlink>
        </w:p>
        <w:p>
          <w:pPr>
            <w:pStyle w:val="TOC3"/>
            <w:tabs>
              <w:tab w:val="clear" w:pos="8459"/>
              <w:tab w:val="right" w:pos="9025" w:leader="dot"/>
            </w:tabs>
            <w:rPr/>
          </w:pPr>
          <w:hyperlink w:anchor="__RefHeading___Toc868_3654386526">
            <w:r>
              <w:rPr>
                <w:rStyle w:val="IndexLink"/>
              </w:rPr>
              <w:t>Neden bu ekip, neden şimdi</w:t>
              <w:tab/>
              <w:t>4</w:t>
            </w:r>
          </w:hyperlink>
        </w:p>
        <w:p>
          <w:pPr>
            <w:pStyle w:val="TOC1"/>
            <w:tabs>
              <w:tab w:val="clear" w:pos="9026"/>
              <w:tab w:val="right" w:pos="9025" w:leader="dot"/>
            </w:tabs>
            <w:rPr/>
          </w:pPr>
          <w:hyperlink w:anchor="__RefHeading___Toc870_3654386526">
            <w:r>
              <w:rPr>
                <w:rStyle w:val="IndexLink"/>
              </w:rPr>
              <w:t>2. Problem Tanımı ve Pazar Fırsatı</w:t>
              <w:tab/>
              <w:t>5</w:t>
            </w:r>
          </w:hyperlink>
        </w:p>
        <w:p>
          <w:pPr>
            <w:pStyle w:val="TOC2"/>
            <w:tabs>
              <w:tab w:val="clear" w:pos="8743"/>
              <w:tab w:val="right" w:pos="9025" w:leader="dot"/>
            </w:tabs>
            <w:rPr/>
          </w:pPr>
          <w:hyperlink w:anchor="__RefHeading___Toc872_3654386526">
            <w:r>
              <w:rPr>
                <w:rStyle w:val="IndexLink"/>
              </w:rPr>
              <w:t>2.1 Çözülen problem</w:t>
              <w:tab/>
              <w:t>5</w:t>
            </w:r>
          </w:hyperlink>
        </w:p>
        <w:p>
          <w:pPr>
            <w:pStyle w:val="TOC2"/>
            <w:tabs>
              <w:tab w:val="clear" w:pos="8743"/>
              <w:tab w:val="right" w:pos="9025" w:leader="dot"/>
            </w:tabs>
            <w:rPr/>
          </w:pPr>
          <w:hyperlink w:anchor="__RefHeading___Toc874_3654386526">
            <w:r>
              <w:rPr>
                <w:rStyle w:val="IndexLink"/>
              </w:rPr>
              <w:t>2.2 Pazarı iten regülasyon dalgası</w:t>
              <w:tab/>
              <w:t>5</w:t>
            </w:r>
          </w:hyperlink>
        </w:p>
        <w:p>
          <w:pPr>
            <w:pStyle w:val="TOC2"/>
            <w:tabs>
              <w:tab w:val="clear" w:pos="8743"/>
              <w:tab w:val="right" w:pos="9025" w:leader="dot"/>
            </w:tabs>
            <w:rPr/>
          </w:pPr>
          <w:hyperlink w:anchor="__RefHeading___Toc876_3654386526">
            <w:r>
              <w:rPr>
                <w:rStyle w:val="IndexLink"/>
              </w:rPr>
              <w:t>2.3 Rakip manzarası ve boşluk</w:t>
              <w:tab/>
              <w:t>5</w:t>
            </w:r>
          </w:hyperlink>
        </w:p>
        <w:p>
          <w:pPr>
            <w:pStyle w:val="TOC1"/>
            <w:tabs>
              <w:tab w:val="clear" w:pos="9026"/>
              <w:tab w:val="right" w:pos="9025" w:leader="dot"/>
            </w:tabs>
            <w:rPr/>
          </w:pPr>
          <w:hyperlink w:anchor="__RefHeading___Toc878_3654386526">
            <w:r>
              <w:rPr>
                <w:rStyle w:val="IndexLink"/>
              </w:rPr>
              <w:t>3. Ürün Vizyonu ve Kapsam</w:t>
              <w:tab/>
              <w:t>6</w:t>
            </w:r>
          </w:hyperlink>
        </w:p>
        <w:p>
          <w:pPr>
            <w:pStyle w:val="TOC2"/>
            <w:tabs>
              <w:tab w:val="clear" w:pos="8743"/>
              <w:tab w:val="right" w:pos="9025" w:leader="dot"/>
            </w:tabs>
            <w:rPr/>
          </w:pPr>
          <w:hyperlink w:anchor="__RefHeading___Toc880_3654386526">
            <w:r>
              <w:rPr>
                <w:rStyle w:val="IndexLink"/>
              </w:rPr>
              <w:t>3.1 Vizyon</w:t>
              <w:tab/>
              <w:t>6</w:t>
            </w:r>
          </w:hyperlink>
        </w:p>
        <w:p>
          <w:pPr>
            <w:pStyle w:val="TOC2"/>
            <w:tabs>
              <w:tab w:val="clear" w:pos="8743"/>
              <w:tab w:val="right" w:pos="9025" w:leader="dot"/>
            </w:tabs>
            <w:rPr/>
          </w:pPr>
          <w:hyperlink w:anchor="__RefHeading___Toc882_3654386526">
            <w:r>
              <w:rPr>
                <w:rStyle w:val="IndexLink"/>
              </w:rPr>
              <w:t>3.2 Ürünün ürettiği üç çıktı</w:t>
              <w:tab/>
              <w:t>6</w:t>
            </w:r>
          </w:hyperlink>
        </w:p>
        <w:p>
          <w:pPr>
            <w:pStyle w:val="TOC2"/>
            <w:tabs>
              <w:tab w:val="clear" w:pos="8743"/>
              <w:tab w:val="right" w:pos="9025" w:leader="dot"/>
            </w:tabs>
            <w:rPr/>
          </w:pPr>
          <w:hyperlink w:anchor="__RefHeading___Toc884_3654386526">
            <w:r>
              <w:rPr>
                <w:rStyle w:val="IndexLink"/>
              </w:rPr>
              <w:t>3.3 Kapsam sınırları (MVP’de kapsam dışı)</w:t>
              <w:tab/>
              <w:t>6</w:t>
            </w:r>
          </w:hyperlink>
        </w:p>
        <w:p>
          <w:pPr>
            <w:pStyle w:val="TOC1"/>
            <w:tabs>
              <w:tab w:val="clear" w:pos="9026"/>
              <w:tab w:val="right" w:pos="9025" w:leader="dot"/>
            </w:tabs>
            <w:rPr/>
          </w:pPr>
          <w:hyperlink w:anchor="__RefHeading___Toc886_3654386526">
            <w:r>
              <w:rPr>
                <w:rStyle w:val="IndexLink"/>
              </w:rPr>
              <w:t>4. Hedef Segment ve Pazara Giriş Stratejisi</w:t>
              <w:tab/>
              <w:t>7</w:t>
            </w:r>
          </w:hyperlink>
        </w:p>
        <w:p>
          <w:pPr>
            <w:pStyle w:val="TOC2"/>
            <w:tabs>
              <w:tab w:val="clear" w:pos="8743"/>
              <w:tab w:val="right" w:pos="9025" w:leader="dot"/>
            </w:tabs>
            <w:rPr/>
          </w:pPr>
          <w:hyperlink w:anchor="__RefHeading___Toc888_3654386526">
            <w:r>
              <w:rPr>
                <w:rStyle w:val="IndexLink"/>
              </w:rPr>
              <w:t>4.1 Seçilen çıpa segment ve gerekçe</w:t>
              <w:tab/>
              <w:t>7</w:t>
            </w:r>
          </w:hyperlink>
        </w:p>
        <w:p>
          <w:pPr>
            <w:pStyle w:val="TOC2"/>
            <w:tabs>
              <w:tab w:val="clear" w:pos="8743"/>
              <w:tab w:val="right" w:pos="9025" w:leader="dot"/>
            </w:tabs>
            <w:rPr/>
          </w:pPr>
          <w:hyperlink w:anchor="__RefHeading___Toc890_3654386526">
            <w:r>
              <w:rPr>
                <w:rStyle w:val="IndexLink"/>
              </w:rPr>
              <w:t>4.2 Segment bazlı değer önerileri</w:t>
              <w:tab/>
              <w:t>7</w:t>
            </w:r>
          </w:hyperlink>
        </w:p>
        <w:p>
          <w:pPr>
            <w:pStyle w:val="TOC2"/>
            <w:tabs>
              <w:tab w:val="clear" w:pos="8743"/>
              <w:tab w:val="right" w:pos="9025" w:leader="dot"/>
            </w:tabs>
            <w:rPr/>
          </w:pPr>
          <w:hyperlink w:anchor="__RefHeading___Toc892_3654386526">
            <w:r>
              <w:rPr>
                <w:rStyle w:val="IndexLink"/>
              </w:rPr>
              <w:t>4.3 Pazara giriş</w:t>
              <w:tab/>
              <w:t>7</w:t>
            </w:r>
          </w:hyperlink>
        </w:p>
        <w:p>
          <w:pPr>
            <w:pStyle w:val="TOC1"/>
            <w:tabs>
              <w:tab w:val="clear" w:pos="9026"/>
              <w:tab w:val="right" w:pos="9025" w:leader="dot"/>
            </w:tabs>
            <w:rPr/>
          </w:pPr>
          <w:hyperlink w:anchor="__RefHeading___Toc894_3654386526">
            <w:r>
              <w:rPr>
                <w:rStyle w:val="IndexLink"/>
              </w:rPr>
              <w:t>5. Fonksiyonel Gereksinimler ve Özellik Seti</w:t>
              <w:tab/>
              <w:t>8</w:t>
            </w:r>
          </w:hyperlink>
        </w:p>
        <w:p>
          <w:pPr>
            <w:pStyle w:val="TOC2"/>
            <w:tabs>
              <w:tab w:val="clear" w:pos="8743"/>
              <w:tab w:val="right" w:pos="9025" w:leader="dot"/>
            </w:tabs>
            <w:rPr/>
          </w:pPr>
          <w:hyperlink w:anchor="__RefHeading___Toc896_3654386526">
            <w:r>
              <w:rPr>
                <w:rStyle w:val="IndexLink"/>
              </w:rPr>
              <w:t>5.1 Çekirdek modüller (MVP)</w:t>
              <w:tab/>
              <w:t>8</w:t>
            </w:r>
          </w:hyperlink>
        </w:p>
        <w:p>
          <w:pPr>
            <w:pStyle w:val="TOC3"/>
            <w:tabs>
              <w:tab w:val="clear" w:pos="8459"/>
              <w:tab w:val="right" w:pos="9025" w:leader="dot"/>
            </w:tabs>
            <w:rPr/>
          </w:pPr>
          <w:hyperlink w:anchor="__RefHeading___Toc898_3654386526">
            <w:r>
              <w:rPr>
                <w:rStyle w:val="IndexLink"/>
              </w:rPr>
              <w:t>M1 — Kurum doğrulama ve kimlik tespiti</w:t>
              <w:tab/>
              <w:t>8</w:t>
            </w:r>
          </w:hyperlink>
        </w:p>
        <w:p>
          <w:pPr>
            <w:pStyle w:val="TOC3"/>
            <w:tabs>
              <w:tab w:val="clear" w:pos="8459"/>
              <w:tab w:val="right" w:pos="9025" w:leader="dot"/>
            </w:tabs>
            <w:rPr/>
          </w:pPr>
          <w:hyperlink w:anchor="__RefHeading___Toc900_3654386526">
            <w:r>
              <w:rPr>
                <w:rStyle w:val="IndexLink"/>
              </w:rPr>
              <w:t>M2 — Gerçek faydalanıcı (UBO) / sahiplik grafiği</w:t>
              <w:tab/>
              <w:t>8</w:t>
            </w:r>
          </w:hyperlink>
        </w:p>
        <w:p>
          <w:pPr>
            <w:pStyle w:val="TOC3"/>
            <w:tabs>
              <w:tab w:val="clear" w:pos="8459"/>
              <w:tab w:val="right" w:pos="9025" w:leader="dot"/>
            </w:tabs>
            <w:rPr/>
          </w:pPr>
          <w:hyperlink w:anchor="__RefHeading___Toc902_3654386526">
            <w:r>
              <w:rPr>
                <w:rStyle w:val="IndexLink"/>
              </w:rPr>
              <w:t>M3 — Yaptırım / PEP / watchlist taraması</w:t>
              <w:tab/>
              <w:t>8</w:t>
            </w:r>
          </w:hyperlink>
        </w:p>
        <w:p>
          <w:pPr>
            <w:pStyle w:val="TOC3"/>
            <w:tabs>
              <w:tab w:val="clear" w:pos="8459"/>
              <w:tab w:val="right" w:pos="9025" w:leader="dot"/>
            </w:tabs>
            <w:rPr/>
          </w:pPr>
          <w:hyperlink w:anchor="__RefHeading___Toc904_3654386526">
            <w:r>
              <w:rPr>
                <w:rStyle w:val="IndexLink"/>
              </w:rPr>
              <w:t>M4 — Olumsuz medya (adverse media)</w:t>
              <w:tab/>
              <w:t>8</w:t>
            </w:r>
          </w:hyperlink>
        </w:p>
        <w:p>
          <w:pPr>
            <w:pStyle w:val="TOC3"/>
            <w:tabs>
              <w:tab w:val="clear" w:pos="8459"/>
              <w:tab w:val="right" w:pos="9025" w:leader="dot"/>
            </w:tabs>
            <w:rPr/>
          </w:pPr>
          <w:hyperlink w:anchor="__RefHeading___Toc906_3654386526">
            <w:r>
              <w:rPr>
                <w:rStyle w:val="IndexLink"/>
              </w:rPr>
              <w:t>M5 — Risk skoru, rapor ve denetim izi</w:t>
              <w:tab/>
              <w:t>8</w:t>
            </w:r>
          </w:hyperlink>
        </w:p>
        <w:p>
          <w:pPr>
            <w:pStyle w:val="TOC2"/>
            <w:tabs>
              <w:tab w:val="clear" w:pos="8743"/>
              <w:tab w:val="right" w:pos="9025" w:leader="dot"/>
            </w:tabs>
            <w:rPr/>
          </w:pPr>
          <w:hyperlink w:anchor="__RefHeading___Toc908_3654386526">
            <w:r>
              <w:rPr>
                <w:rStyle w:val="IndexLink"/>
              </w:rPr>
              <w:t>5.2 Farklılaştırıcı katman (asıl moat)</w:t>
              <w:tab/>
              <w:t>8</w:t>
            </w:r>
          </w:hyperlink>
        </w:p>
        <w:p>
          <w:pPr>
            <w:pStyle w:val="TOC2"/>
            <w:tabs>
              <w:tab w:val="clear" w:pos="8743"/>
              <w:tab w:val="right" w:pos="9025" w:leader="dot"/>
            </w:tabs>
            <w:rPr/>
          </w:pPr>
          <w:hyperlink w:anchor="__RefHeading___Toc910_3654386526">
            <w:r>
              <w:rPr>
                <w:rStyle w:val="IndexLink"/>
              </w:rPr>
              <w:t>5.3 Ölçek ve yapışkanlık katmanı</w:t>
              <w:tab/>
              <w:t>9</w:t>
            </w:r>
          </w:hyperlink>
        </w:p>
        <w:p>
          <w:pPr>
            <w:pStyle w:val="TOC1"/>
            <w:tabs>
              <w:tab w:val="clear" w:pos="9026"/>
              <w:tab w:val="right" w:pos="9025" w:leader="dot"/>
            </w:tabs>
            <w:rPr/>
          </w:pPr>
          <w:hyperlink w:anchor="__RefHeading___Toc912_3654386526">
            <w:r>
              <w:rPr>
                <w:rStyle w:val="IndexLink"/>
              </w:rPr>
              <w:t>6. Sistem Mimarisi</w:t>
              <w:tab/>
              <w:t>10</w:t>
            </w:r>
          </w:hyperlink>
        </w:p>
        <w:p>
          <w:pPr>
            <w:pStyle w:val="TOC2"/>
            <w:tabs>
              <w:tab w:val="clear" w:pos="8743"/>
              <w:tab w:val="right" w:pos="9025" w:leader="dot"/>
            </w:tabs>
            <w:rPr/>
          </w:pPr>
          <w:hyperlink w:anchor="__RefHeading___Toc914_3654386526">
            <w:r>
              <w:rPr>
                <w:rStyle w:val="IndexLink"/>
              </w:rPr>
              <w:t>6.1 Katmanlı mimari genel bakışı</w:t>
              <w:tab/>
              <w:t>10</w:t>
            </w:r>
          </w:hyperlink>
        </w:p>
        <w:p>
          <w:pPr>
            <w:pStyle w:val="TOC2"/>
            <w:tabs>
              <w:tab w:val="clear" w:pos="8743"/>
              <w:tab w:val="right" w:pos="9025" w:leader="dot"/>
            </w:tabs>
            <w:rPr/>
          </w:pPr>
          <w:hyperlink w:anchor="__RefHeading___Toc916_3654386526">
            <w:r>
              <w:rPr>
                <w:rStyle w:val="IndexLink"/>
              </w:rPr>
              <w:t>6.2 Teknoloji yığını kararları ve gerekçeleri</w:t>
              <w:tab/>
              <w:t>10</w:t>
            </w:r>
          </w:hyperlink>
        </w:p>
        <w:p>
          <w:pPr>
            <w:pStyle w:val="TOC2"/>
            <w:tabs>
              <w:tab w:val="clear" w:pos="8743"/>
              <w:tab w:val="right" w:pos="9025" w:leader="dot"/>
            </w:tabs>
            <w:rPr/>
          </w:pPr>
          <w:hyperlink w:anchor="__RefHeading___Toc918_3654386526">
            <w:r>
              <w:rPr>
                <w:rStyle w:val="IndexLink"/>
              </w:rPr>
              <w:t>6.3 Çok kiracılı (multi-tenant) tasarım</w:t>
              <w:tab/>
              <w:t>11</w:t>
            </w:r>
          </w:hyperlink>
        </w:p>
        <w:p>
          <w:pPr>
            <w:pStyle w:val="TOC2"/>
            <w:tabs>
              <w:tab w:val="clear" w:pos="8743"/>
              <w:tab w:val="right" w:pos="9025" w:leader="dot"/>
            </w:tabs>
            <w:rPr/>
          </w:pPr>
          <w:hyperlink w:anchor="__RefHeading___Toc920_3654386526">
            <w:r>
              <w:rPr>
                <w:rStyle w:val="IndexLink"/>
              </w:rPr>
              <w:t>6.4 Veri modeli ve varlık eşleştirme (entity resolution)</w:t>
              <w:tab/>
              <w:t>11</w:t>
            </w:r>
          </w:hyperlink>
        </w:p>
        <w:p>
          <w:pPr>
            <w:pStyle w:val="TOC2"/>
            <w:tabs>
              <w:tab w:val="clear" w:pos="8743"/>
              <w:tab w:val="right" w:pos="9025" w:leader="dot"/>
            </w:tabs>
            <w:rPr/>
          </w:pPr>
          <w:hyperlink w:anchor="__RefHeading___Toc922_3654386526">
            <w:r>
              <w:rPr>
                <w:rStyle w:val="IndexLink"/>
              </w:rPr>
              <w:t>6.5 UBO / sahiplik grafiği</w:t>
              <w:tab/>
              <w:t>11</w:t>
            </w:r>
          </w:hyperlink>
        </w:p>
        <w:p>
          <w:pPr>
            <w:pStyle w:val="TOC2"/>
            <w:tabs>
              <w:tab w:val="clear" w:pos="8743"/>
              <w:tab w:val="right" w:pos="9025" w:leader="dot"/>
            </w:tabs>
            <w:rPr/>
          </w:pPr>
          <w:hyperlink w:anchor="__RefHeading___Toc924_3654386526">
            <w:r>
              <w:rPr>
                <w:rStyle w:val="IndexLink"/>
              </w:rPr>
              <w:t>6.6 Yapay zekâ / LLM hattı</w:t>
              <w:tab/>
              <w:t>11</w:t>
            </w:r>
          </w:hyperlink>
        </w:p>
        <w:p>
          <w:pPr>
            <w:pStyle w:val="TOC2"/>
            <w:tabs>
              <w:tab w:val="clear" w:pos="8743"/>
              <w:tab w:val="right" w:pos="9025" w:leader="dot"/>
            </w:tabs>
            <w:rPr/>
          </w:pPr>
          <w:hyperlink w:anchor="__RefHeading___Toc926_3654386526">
            <w:r>
              <w:rPr>
                <w:rStyle w:val="IndexLink"/>
              </w:rPr>
              <w:t>6.7 Belge işleme</w:t>
              <w:tab/>
              <w:t>12</w:t>
            </w:r>
          </w:hyperlink>
        </w:p>
        <w:p>
          <w:pPr>
            <w:pStyle w:val="TOC2"/>
            <w:tabs>
              <w:tab w:val="clear" w:pos="8743"/>
              <w:tab w:val="right" w:pos="9025" w:leader="dot"/>
            </w:tabs>
            <w:rPr/>
          </w:pPr>
          <w:hyperlink w:anchor="__RefHeading___Toc928_3654386526">
            <w:r>
              <w:rPr>
                <w:rStyle w:val="IndexLink"/>
              </w:rPr>
              <w:t>6.8 Sürekli izleme ve iş mimarisi</w:t>
              <w:tab/>
              <w:t>12</w:t>
            </w:r>
          </w:hyperlink>
        </w:p>
        <w:p>
          <w:pPr>
            <w:pStyle w:val="TOC2"/>
            <w:tabs>
              <w:tab w:val="clear" w:pos="8743"/>
              <w:tab w:val="right" w:pos="9025" w:leader="dot"/>
            </w:tabs>
            <w:rPr/>
          </w:pPr>
          <w:hyperlink w:anchor="__RefHeading___Toc930_3654386526">
            <w:r>
              <w:rPr>
                <w:rStyle w:val="IndexLink"/>
              </w:rPr>
              <w:t>6.9 API tasarımı</w:t>
              <w:tab/>
              <w:t>12</w:t>
            </w:r>
          </w:hyperlink>
        </w:p>
        <w:p>
          <w:pPr>
            <w:pStyle w:val="TOC2"/>
            <w:tabs>
              <w:tab w:val="clear" w:pos="8743"/>
              <w:tab w:val="right" w:pos="9025" w:leader="dot"/>
            </w:tabs>
            <w:rPr/>
          </w:pPr>
          <w:hyperlink w:anchor="__RefHeading___Toc932_3654386526">
            <w:r>
              <w:rPr>
                <w:rStyle w:val="IndexLink"/>
              </w:rPr>
              <w:t>6.10 Frontend mimarisi</w:t>
              <w:tab/>
              <w:t>12</w:t>
            </w:r>
          </w:hyperlink>
        </w:p>
        <w:p>
          <w:pPr>
            <w:pStyle w:val="TOC1"/>
            <w:tabs>
              <w:tab w:val="clear" w:pos="9026"/>
              <w:tab w:val="right" w:pos="9025" w:leader="dot"/>
            </w:tabs>
            <w:rPr/>
          </w:pPr>
          <w:hyperlink w:anchor="__RefHeading___Toc934_3654386526">
            <w:r>
              <w:rPr>
                <w:rStyle w:val="IndexLink"/>
              </w:rPr>
              <w:t>7. Veri Kaynakları ve Entegrasyonlar</w:t>
              <w:tab/>
              <w:t>13</w:t>
            </w:r>
          </w:hyperlink>
        </w:p>
        <w:p>
          <w:pPr>
            <w:pStyle w:val="TOC1"/>
            <w:tabs>
              <w:tab w:val="clear" w:pos="9026"/>
              <w:tab w:val="right" w:pos="9025" w:leader="dot"/>
            </w:tabs>
            <w:rPr/>
          </w:pPr>
          <w:hyperlink w:anchor="__RefHeading___Toc936_3654386526">
            <w:r>
              <w:rPr>
                <w:rStyle w:val="IndexLink"/>
              </w:rPr>
              <w:t>8. Güvenlik, Gizlilik ve Uyum</w:t>
              <w:tab/>
              <w:t>14</w:t>
            </w:r>
          </w:hyperlink>
        </w:p>
        <w:p>
          <w:pPr>
            <w:pStyle w:val="TOC2"/>
            <w:tabs>
              <w:tab w:val="clear" w:pos="8743"/>
              <w:tab w:val="right" w:pos="9025" w:leader="dot"/>
            </w:tabs>
            <w:rPr/>
          </w:pPr>
          <w:hyperlink w:anchor="__RefHeading___Toc938_3654386526">
            <w:r>
              <w:rPr>
                <w:rStyle w:val="IndexLink"/>
              </w:rPr>
              <w:t>8.1 KVKK / GDPR</w:t>
              <w:tab/>
              <w:t>14</w:t>
            </w:r>
          </w:hyperlink>
        </w:p>
        <w:p>
          <w:pPr>
            <w:pStyle w:val="TOC2"/>
            <w:tabs>
              <w:tab w:val="clear" w:pos="8743"/>
              <w:tab w:val="right" w:pos="9025" w:leader="dot"/>
            </w:tabs>
            <w:rPr/>
          </w:pPr>
          <w:hyperlink w:anchor="__RefHeading___Toc940_3654386526">
            <w:r>
              <w:rPr>
                <w:rStyle w:val="IndexLink"/>
              </w:rPr>
              <w:t>8.2 Uygulama güvenliği</w:t>
              <w:tab/>
              <w:t>14</w:t>
            </w:r>
          </w:hyperlink>
        </w:p>
        <w:p>
          <w:pPr>
            <w:pStyle w:val="TOC2"/>
            <w:tabs>
              <w:tab w:val="clear" w:pos="8743"/>
              <w:tab w:val="right" w:pos="9025" w:leader="dot"/>
            </w:tabs>
            <w:rPr/>
          </w:pPr>
          <w:hyperlink w:anchor="__RefHeading___Toc942_3654386526">
            <w:r>
              <w:rPr>
                <w:rStyle w:val="IndexLink"/>
              </w:rPr>
              <w:t>8.3 Sorumluluk konumlandırması</w:t>
              <w:tab/>
              <w:t>14</w:t>
            </w:r>
          </w:hyperlink>
        </w:p>
        <w:p>
          <w:pPr>
            <w:pStyle w:val="TOC1"/>
            <w:tabs>
              <w:tab w:val="clear" w:pos="9026"/>
              <w:tab w:val="right" w:pos="9025" w:leader="dot"/>
            </w:tabs>
            <w:rPr/>
          </w:pPr>
          <w:hyperlink w:anchor="__RefHeading___Toc944_3654386526">
            <w:r>
              <w:rPr>
                <w:rStyle w:val="IndexLink"/>
              </w:rPr>
              <w:t>9. Fonksiyonel Olmayan Gereksinimler</w:t>
              <w:tab/>
              <w:t>15</w:t>
            </w:r>
          </w:hyperlink>
        </w:p>
        <w:p>
          <w:pPr>
            <w:pStyle w:val="TOC1"/>
            <w:tabs>
              <w:tab w:val="clear" w:pos="9026"/>
              <w:tab w:val="right" w:pos="9025" w:leader="dot"/>
            </w:tabs>
            <w:rPr/>
          </w:pPr>
          <w:hyperlink w:anchor="__RefHeading___Toc946_3654386526">
            <w:r>
              <w:rPr>
                <w:rStyle w:val="IndexLink"/>
              </w:rPr>
              <w:t>10. Geliştirme Yol Haritası</w:t>
              <w:tab/>
              <w:t>16</w:t>
            </w:r>
          </w:hyperlink>
        </w:p>
        <w:p>
          <w:pPr>
            <w:pStyle w:val="TOC2"/>
            <w:tabs>
              <w:tab w:val="clear" w:pos="8743"/>
              <w:tab w:val="right" w:pos="9025" w:leader="dot"/>
            </w:tabs>
            <w:rPr/>
          </w:pPr>
          <w:hyperlink w:anchor="__RefHeading___Toc948_3654386526">
            <w:r>
              <w:rPr>
                <w:rStyle w:val="IndexLink"/>
              </w:rPr>
              <w:t>10.1 Faz 0 — Doğrulama (2–3 hafta)</w:t>
              <w:tab/>
              <w:t>16</w:t>
            </w:r>
          </w:hyperlink>
        </w:p>
        <w:p>
          <w:pPr>
            <w:pStyle w:val="TOC2"/>
            <w:tabs>
              <w:tab w:val="clear" w:pos="8743"/>
              <w:tab w:val="right" w:pos="9025" w:leader="dot"/>
            </w:tabs>
            <w:rPr/>
          </w:pPr>
          <w:hyperlink w:anchor="__RefHeading___Toc950_3654386526">
            <w:r>
              <w:rPr>
                <w:rStyle w:val="IndexLink"/>
              </w:rPr>
              <w:t>10.2 Faz 1 — Çekirdek MVP (6–8 hafta)</w:t>
              <w:tab/>
              <w:t>16</w:t>
            </w:r>
          </w:hyperlink>
        </w:p>
        <w:p>
          <w:pPr>
            <w:pStyle w:val="TOC2"/>
            <w:tabs>
              <w:tab w:val="clear" w:pos="8743"/>
              <w:tab w:val="right" w:pos="9025" w:leader="dot"/>
            </w:tabs>
            <w:rPr/>
          </w:pPr>
          <w:hyperlink w:anchor="__RefHeading___Toc952_3654386526">
            <w:r>
              <w:rPr>
                <w:rStyle w:val="IndexLink"/>
              </w:rPr>
              <w:t>10.3 Faz 2 — Farklılaştırma (6–8 hafta)</w:t>
              <w:tab/>
              <w:t>16</w:t>
            </w:r>
          </w:hyperlink>
        </w:p>
        <w:p>
          <w:pPr>
            <w:pStyle w:val="TOC2"/>
            <w:tabs>
              <w:tab w:val="clear" w:pos="8743"/>
              <w:tab w:val="right" w:pos="9025" w:leader="dot"/>
            </w:tabs>
            <w:rPr/>
          </w:pPr>
          <w:hyperlink w:anchor="__RefHeading___Toc954_3654386526">
            <w:r>
              <w:rPr>
                <w:rStyle w:val="IndexLink"/>
              </w:rPr>
              <w:t>10.4 Faz 3 — Ölçek ve gelir (8–10 hafta)</w:t>
              <w:tab/>
              <w:t>16</w:t>
            </w:r>
          </w:hyperlink>
        </w:p>
        <w:p>
          <w:pPr>
            <w:pStyle w:val="TOC2"/>
            <w:tabs>
              <w:tab w:val="clear" w:pos="8743"/>
              <w:tab w:val="right" w:pos="9025" w:leader="dot"/>
            </w:tabs>
            <w:rPr/>
          </w:pPr>
          <w:hyperlink w:anchor="__RefHeading___Toc956_3654386526">
            <w:r>
              <w:rPr>
                <w:rStyle w:val="IndexLink"/>
              </w:rPr>
              <w:t>10.5 Faz 4 — Genişleme (sürekli)</w:t>
              <w:tab/>
              <w:t>16</w:t>
            </w:r>
          </w:hyperlink>
        </w:p>
        <w:p>
          <w:pPr>
            <w:pStyle w:val="TOC1"/>
            <w:tabs>
              <w:tab w:val="clear" w:pos="9026"/>
              <w:tab w:val="right" w:pos="9025" w:leader="dot"/>
            </w:tabs>
            <w:rPr/>
          </w:pPr>
          <w:hyperlink w:anchor="__RefHeading___Toc958_3654386526">
            <w:r>
              <w:rPr>
                <w:rStyle w:val="IndexLink"/>
              </w:rPr>
              <w:t>11. Risk Analizi ve Azaltma</w:t>
              <w:tab/>
              <w:t>17</w:t>
            </w:r>
          </w:hyperlink>
        </w:p>
        <w:p>
          <w:pPr>
            <w:pStyle w:val="TOC1"/>
            <w:tabs>
              <w:tab w:val="clear" w:pos="9026"/>
              <w:tab w:val="right" w:pos="9025" w:leader="dot"/>
            </w:tabs>
            <w:rPr/>
          </w:pPr>
          <w:hyperlink w:anchor="__RefHeading___Toc960_3654386526">
            <w:r>
              <w:rPr>
                <w:rStyle w:val="IndexLink"/>
              </w:rPr>
              <w:t>12. Monetizasyon ve Fiyatlandırma Modeli</w:t>
              <w:tab/>
              <w:t>18</w:t>
            </w:r>
          </w:hyperlink>
        </w:p>
        <w:p>
          <w:pPr>
            <w:pStyle w:val="TOC1"/>
            <w:tabs>
              <w:tab w:val="clear" w:pos="9026"/>
              <w:tab w:val="right" w:pos="9025" w:leader="dot"/>
            </w:tabs>
            <w:rPr/>
          </w:pPr>
          <w:hyperlink w:anchor="__RefHeading___Toc962_3654386526">
            <w:r>
              <w:rPr>
                <w:rStyle w:val="IndexLink"/>
              </w:rPr>
              <w:t>13. Başarı Metrikleri (KPI)</w:t>
              <w:tab/>
              <w:t>19</w:t>
            </w:r>
          </w:hyperlink>
        </w:p>
        <w:p>
          <w:pPr>
            <w:pStyle w:val="TOC1"/>
            <w:tabs>
              <w:tab w:val="clear" w:pos="9026"/>
              <w:tab w:val="right" w:pos="9025" w:leader="dot"/>
            </w:tabs>
            <w:rPr/>
          </w:pPr>
          <w:hyperlink w:anchor="__RefHeading___Toc964_3654386526">
            <w:r>
              <w:rPr>
                <w:rStyle w:val="IndexLink"/>
              </w:rPr>
              <w:t>14. Sonuç ve Sonraki Adımlar</w:t>
              <w:tab/>
              <w:t>20</w:t>
            </w:r>
          </w:hyperlink>
        </w:p>
        <w:p>
          <w:pPr>
            <w:pStyle w:val="TOC3"/>
            <w:tabs>
              <w:tab w:val="clear" w:pos="8459"/>
              <w:tab w:val="right" w:pos="9025" w:leader="dot"/>
            </w:tabs>
            <w:rPr/>
          </w:pPr>
          <w:hyperlink w:anchor="__RefHeading___Toc966_3654386526">
            <w:r>
              <w:rPr>
                <w:rStyle w:val="IndexLink"/>
              </w:rPr>
              <w:t>Hemen atılacak adımlar</w:t>
              <w:tab/>
              <w:t>20</w:t>
            </w:r>
          </w:hyperlink>
        </w:p>
        <w:p>
          <w:pPr>
            <w:pStyle w:val="TOC1"/>
            <w:tabs>
              <w:tab w:val="clear" w:pos="9026"/>
              <w:tab w:val="right" w:pos="9025" w:leader="dot"/>
            </w:tabs>
            <w:rPr/>
          </w:pPr>
          <w:hyperlink w:anchor="__RefHeading___Toc968_3654386526">
            <w:r>
              <w:rPr>
                <w:rStyle w:val="IndexLink"/>
              </w:rPr>
              <w:t>Ek A — Terimler Sözlüğü</w:t>
              <w:tab/>
              <w:t>20</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866_3654386526"/>
      <w:bookmarkEnd w:id="0"/>
      <w:r>
        <w:rPr>
          <w:b/>
          <w:bCs/>
          <w:color w:val="1E293B"/>
          <w:sz w:val="30"/>
          <w:szCs w:val="30"/>
        </w:rPr>
        <w:t>1. Yönetici Özeti</w:t>
      </w:r>
    </w:p>
    <w:p>
      <w:pPr>
        <w:pStyle w:val="Normal"/>
        <w:spacing w:lineRule="exact" w:line="276" w:before="0" w:after="120"/>
        <w:jc w:val="both"/>
        <w:rPr/>
      </w:pPr>
      <w:r>
        <w:rPr>
          <w:b/>
          <w:bCs/>
          <w:color w:val="1F2937"/>
          <w:sz w:val="21"/>
          <w:szCs w:val="21"/>
        </w:rPr>
        <w:t>AEGIS</w:t>
      </w:r>
      <w:r>
        <w:rPr>
          <w:color w:val="1F2937"/>
          <w:sz w:val="21"/>
          <w:szCs w:val="21"/>
        </w:rPr>
        <w:t xml:space="preserve">, işletmelerin ticari ilişkiye girmeden önce karşı tarafın kimliğini, sahiplik/kontrol yapısını ve mali suç riskini doğrulamasını sağlayan; ilişki devam ettikçe bu riski sürekli izleyen yapay zekâ destekli bir </w:t>
      </w:r>
      <w:r>
        <w:rPr>
          <w:b/>
          <w:bCs/>
          <w:color w:val="1F2937"/>
          <w:sz w:val="21"/>
          <w:szCs w:val="21"/>
        </w:rPr>
        <w:t>KYB (Know Your Business) ve Due Diligence</w:t>
      </w:r>
      <w:r>
        <w:rPr>
          <w:color w:val="1F2937"/>
          <w:sz w:val="21"/>
          <w:szCs w:val="21"/>
        </w:rPr>
        <w:t xml:space="preserve"> platformudur. Kısaca: bir kurum bir müşteri, tedarikçi veya iş ortağıyla çalışmadan önce “bu tarafla iş yapmak güvenli mi, arkasında gerçekte kim var ve bir risk çıkarsa bana zamanında haber ver” sorusunun denetime dayanıklı cevabını üretir.</w:t>
      </w:r>
    </w:p>
    <w:p>
      <w:pPr>
        <w:pStyle w:val="Normal"/>
        <w:spacing w:lineRule="exact" w:line="276" w:before="0" w:after="120"/>
        <w:jc w:val="both"/>
        <w:rPr/>
      </w:pPr>
      <w:r>
        <w:rPr>
          <w:color w:val="1F2937"/>
          <w:sz w:val="21"/>
          <w:szCs w:val="21"/>
        </w:rPr>
        <w:t>Ürün, isteğe bağlı bir araç değil; yasal bir zorunluluğa çözüm olarak konumlanır. Türkiye’de 5549 sayılı Kanun ve MASAK mevzuatı; bankaların yanı sıra SMMM/YMM’leri, bağımsız denetçileri, kuyumcuları, gayrimenkul ofislerini ve belirli avukatları müşterini tanı, gerçek faydalanıcı (UBO) tespiti ve şüpheli işlem bildirimi (ŞİB) ile yükümlü kılar. Bu yükümlülükleri bugün büyük ölçüde manuel, dağınık ve denetim izi zayıf biçimde yerine getiren geniş bir yükümlü kitlesi vardır. AEGIS bu boşluğu hedefler.</w:t>
      </w:r>
    </w:p>
    <w:tbl>
      <w:tblPr>
        <w:tblW w:w="9026" w:type="dxa"/>
        <w:jc w:val="left"/>
        <w:tblInd w:w="0" w:type="dxa"/>
        <w:tblLayout w:type="fixed"/>
        <w:tblCellMar>
          <w:top w:w="120" w:type="dxa"/>
          <w:left w:w="160" w:type="dxa"/>
          <w:bottom w:w="120" w:type="dxa"/>
          <w:right w:w="160" w:type="dxa"/>
        </w:tblCellMar>
      </w:tblPr>
      <w:tblGrid>
        <w:gridCol w:w="9026"/>
      </w:tblGrid>
      <w:tr>
        <w:trPr/>
        <w:tc>
          <w:tcPr>
            <w:tcW w:w="9026" w:type="dxa"/>
            <w:tcBorders>
              <w:top w:val="single" w:sz="2" w:space="0" w:color="0E7490"/>
              <w:left w:val="single" w:sz="18" w:space="0" w:color="0E7490"/>
              <w:bottom w:val="single" w:sz="2" w:space="0" w:color="0E7490"/>
              <w:right w:val="single" w:sz="2" w:space="0" w:color="0E7490"/>
            </w:tcBorders>
            <w:shd w:fill="ECFEFF" w:val="clear"/>
          </w:tcPr>
          <w:p>
            <w:pPr>
              <w:pStyle w:val="Normal"/>
              <w:spacing w:before="0" w:after="60"/>
              <w:rPr/>
            </w:pPr>
            <w:r>
              <w:rPr>
                <w:b/>
                <w:bCs/>
                <w:color w:val="0F766E"/>
                <w:sz w:val="21"/>
                <w:szCs w:val="21"/>
              </w:rPr>
              <w:t>Stratejik konumlandırma</w:t>
            </w:r>
          </w:p>
          <w:p>
            <w:pPr>
              <w:pStyle w:val="Normal"/>
              <w:jc w:val="both"/>
              <w:rPr/>
            </w:pPr>
            <w:r>
              <w:rPr>
                <w:color w:val="334155"/>
                <w:sz w:val="20"/>
                <w:szCs w:val="20"/>
              </w:rPr>
              <w:t>Global KYB araçları (Sumsub, Middesk, ComplyAdvantage) Türk kayıt sistemlerini (MERSIS, Ticaret Sicil) ve MASAK süreçlerini (ŞİB) yerel doğrulukta işlemez. AEGIS’in ilk moat’ı, uluslararası yaptırım/PEP verisini yerel kayıt entegrasyonu ve Türkçe isim eşleştirmesiyle birleştirmektir — sonra bu altyapı global pazara ölçeklenir.</w:t>
            </w:r>
          </w:p>
        </w:tc>
      </w:tr>
    </w:tbl>
    <w:p>
      <w:pPr>
        <w:pStyle w:val="Heading3"/>
        <w:spacing w:before="180" w:after="90"/>
        <w:rPr/>
      </w:pPr>
      <w:bookmarkStart w:id="1" w:name="__RefHeading___Toc868_3654386526"/>
      <w:bookmarkEnd w:id="1"/>
      <w:r>
        <w:rPr>
          <w:b/>
          <w:bCs/>
          <w:color w:val="1E293B"/>
          <w:sz w:val="22"/>
          <w:szCs w:val="22"/>
        </w:rPr>
        <w:t>Neden bu ekip, neden şimdi</w:t>
      </w:r>
    </w:p>
    <w:p>
      <w:pPr>
        <w:pStyle w:val="Normal"/>
        <w:spacing w:lineRule="exact" w:line="276" w:before="0" w:after="120"/>
        <w:jc w:val="both"/>
        <w:rPr/>
      </w:pPr>
      <w:r>
        <w:rPr>
          <w:color w:val="1F2937"/>
          <w:sz w:val="21"/>
          <w:szCs w:val="21"/>
        </w:rPr>
        <w:t>Bu proje sıfırdan başlamaz. TenderIQ ile olgunlaştırılan mimari (FastAPI, LangGraph, pgvector, Docling, Celery/Redis, RLS’li çok kiracılı PostgreSQL) ve FabrikaOS’ta kanıtlanan çok kiracılılık + KVKK + RBAC desenleri doğrudan yeniden kullanılabilir. Yani teknik risk düşük; asıl yeni yetkinlik, varlık eşleştirme (entity resolution) kalitesi ve tarama motorunun kurgusudur.</w:t>
      </w:r>
    </w:p>
    <w:tbl>
      <w:tblPr>
        <w:tblW w:w="9026" w:type="dxa"/>
        <w:jc w:val="left"/>
        <w:tblInd w:w="0" w:type="dxa"/>
        <w:tblLayout w:type="fixed"/>
        <w:tblCellMar>
          <w:top w:w="80" w:type="dxa"/>
          <w:left w:w="100" w:type="dxa"/>
          <w:bottom w:w="80" w:type="dxa"/>
          <w:right w:w="100" w:type="dxa"/>
        </w:tblCellMar>
      </w:tblPr>
      <w:tblGrid>
        <w:gridCol w:w="2400"/>
        <w:gridCol w:w="6625"/>
      </w:tblGrid>
      <w:tr>
        <w:trPr>
          <w:tblHeader w:val="true"/>
        </w:trPr>
        <w:tc>
          <w:tcPr>
            <w:tcW w:w="2400"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Boyut</w:t>
            </w:r>
          </w:p>
        </w:tc>
        <w:tc>
          <w:tcPr>
            <w:tcW w:w="6625"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Karar / Konum</w:t>
            </w:r>
          </w:p>
        </w:tc>
      </w:tr>
      <w:tr>
        <w:trPr/>
        <w:tc>
          <w:tcPr>
            <w:tcW w:w="2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Ürün türü</w:t>
            </w:r>
          </w:p>
        </w:tc>
        <w:tc>
          <w:tcPr>
            <w:tcW w:w="6625"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Çok kiracılı B2B SaaS — API-first + hazır web arayüzü</w:t>
            </w:r>
          </w:p>
        </w:tc>
      </w:tr>
      <w:tr>
        <w:trPr/>
        <w:tc>
          <w:tcPr>
            <w:tcW w:w="24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Öncelikli segment</w:t>
            </w:r>
          </w:p>
        </w:tc>
        <w:tc>
          <w:tcPr>
            <w:tcW w:w="6625"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SMMM/YMM &amp; bağımsız denetim ofisleri (ayarlanabilir)</w:t>
            </w:r>
          </w:p>
        </w:tc>
      </w:tr>
      <w:tr>
        <w:trPr/>
        <w:tc>
          <w:tcPr>
            <w:tcW w:w="2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Öncelikli pazar</w:t>
            </w:r>
          </w:p>
        </w:tc>
        <w:tc>
          <w:tcPr>
            <w:tcW w:w="6625"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Önce Türkiye, ardından global (EU/UK/US yaptırım verisi hazır)</w:t>
            </w:r>
          </w:p>
        </w:tc>
      </w:tr>
      <w:tr>
        <w:trPr/>
        <w:tc>
          <w:tcPr>
            <w:tcW w:w="24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Değer önerisi</w:t>
            </w:r>
          </w:p>
        </w:tc>
        <w:tc>
          <w:tcPr>
            <w:tcW w:w="6625"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Manuel MASAK/KYB yükünü saatlerden dakikalara indiren, denetime dayanıklı otomasyon</w:t>
            </w:r>
          </w:p>
        </w:tc>
      </w:tr>
      <w:tr>
        <w:trPr/>
        <w:tc>
          <w:tcPr>
            <w:tcW w:w="2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Gelir modeli</w:t>
            </w:r>
          </w:p>
        </w:tc>
        <w:tc>
          <w:tcPr>
            <w:tcW w:w="6625"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Abonelik + kullandıkça-öde sorgu + sürekli izleme eklentisi</w:t>
            </w:r>
          </w:p>
        </w:tc>
      </w:tr>
      <w:tr>
        <w:trPr/>
        <w:tc>
          <w:tcPr>
            <w:tcW w:w="24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Teknik temel</w:t>
            </w:r>
          </w:p>
        </w:tc>
        <w:tc>
          <w:tcPr>
            <w:tcW w:w="6625"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TenderIQ mimarisinin yeniden kullanımı; yeni risk = entity resolution</w:t>
            </w:r>
          </w:p>
        </w:tc>
      </w:tr>
    </w:tbl>
    <w:p>
      <w:pPr>
        <w:pStyle w:val="Normal"/>
        <w:rPr/>
      </w:pPr>
      <w:r>
        <w:rPr/>
      </w:r>
      <w:r>
        <w:br w:type="page"/>
      </w:r>
    </w:p>
    <w:p>
      <w:pPr>
        <w:pStyle w:val="Heading1"/>
        <w:spacing w:before="0" w:after="160"/>
        <w:rPr/>
      </w:pPr>
      <w:bookmarkStart w:id="2" w:name="__RefHeading___Toc870_3654386526"/>
      <w:bookmarkEnd w:id="2"/>
      <w:r>
        <w:rPr>
          <w:b/>
          <w:bCs/>
          <w:color w:val="1E293B"/>
          <w:sz w:val="30"/>
          <w:szCs w:val="30"/>
        </w:rPr>
        <w:t>2. Problem Tanımı ve Pazar Fırsatı</w:t>
      </w:r>
    </w:p>
    <w:p>
      <w:pPr>
        <w:pStyle w:val="Heading2"/>
        <w:spacing w:before="240" w:after="120"/>
        <w:rPr/>
      </w:pPr>
      <w:bookmarkStart w:id="3" w:name="__RefHeading___Toc872_3654386526"/>
      <w:bookmarkEnd w:id="3"/>
      <w:r>
        <w:rPr>
          <w:b/>
          <w:bCs/>
          <w:color w:val="0E7490"/>
          <w:sz w:val="25"/>
          <w:szCs w:val="25"/>
        </w:rPr>
        <w:t>2.1 Çözülen problem</w:t>
      </w:r>
    </w:p>
    <w:p>
      <w:pPr>
        <w:pStyle w:val="Normal"/>
        <w:spacing w:lineRule="exact" w:line="276" w:before="0" w:after="120"/>
        <w:jc w:val="both"/>
        <w:rPr/>
      </w:pPr>
      <w:r>
        <w:rPr>
          <w:color w:val="1F2937"/>
          <w:sz w:val="21"/>
          <w:szCs w:val="21"/>
        </w:rPr>
        <w:t>KYB (Know Your Business), düzenlemeye tabi kurumların bir ticari ilişkiye girmeden önce bir işletmenin kimliğini, sahiplik yapısını ve meşruiyetini doğrulama sürecidir. KYC bireyi doğrularken KYB işletmenin kendisini doğrular: tescil durumu, yöneticiler, nihai gerçek faydalanıcılar (UBO) ve kara para aklama / terörün finansmanı riskine maruziyet. Bugün bu süreç, yükümlülerin çoğunda parçalı yürür: bir yerde Ticaret Sicil sorgusu, başka yerde manuel yaptırım listesi kontrolü, ayrı bir dosyada imza sirküleri, hiçbirinde bütünleşik denetim izi yok.</w:t>
      </w:r>
    </w:p>
    <w:p>
      <w:pPr>
        <w:pStyle w:val="Normal"/>
        <w:spacing w:lineRule="exact" w:line="276" w:before="0" w:after="120"/>
        <w:jc w:val="both"/>
        <w:rPr/>
      </w:pPr>
      <w:r>
        <w:rPr>
          <w:color w:val="1F2937"/>
          <w:sz w:val="21"/>
          <w:szCs w:val="21"/>
        </w:rPr>
        <w:t>Bu parçalılığın üç somut maliyeti vardır: (1) zaman — tek bir kurumun tam incelemesi manuel olarak saatler alır; (2) risk — dağınık süreç, denetimde “bu kararı neden verdiniz?” sorusuna belgeli cevap üretemez; (3) kaçırılan sinyal — ilişki başladıktan sonra ortaklık veya yaptırım durumu değişince kimse haberdar olmaz.</w:t>
      </w:r>
    </w:p>
    <w:p>
      <w:pPr>
        <w:pStyle w:val="Heading2"/>
        <w:spacing w:before="240" w:after="120"/>
        <w:rPr/>
      </w:pPr>
      <w:bookmarkStart w:id="4" w:name="__RefHeading___Toc874_3654386526"/>
      <w:bookmarkEnd w:id="4"/>
      <w:r>
        <w:rPr>
          <w:b/>
          <w:bCs/>
          <w:color w:val="0E7490"/>
          <w:sz w:val="25"/>
          <w:szCs w:val="25"/>
        </w:rPr>
        <w:t>2.2 Pazarı iten regülasyon dalgası</w:t>
      </w:r>
    </w:p>
    <w:p>
      <w:pPr>
        <w:pStyle w:val="Normal"/>
        <w:spacing w:lineRule="exact" w:line="276" w:before="0" w:after="120"/>
        <w:jc w:val="both"/>
        <w:rPr/>
      </w:pPr>
      <w:r>
        <w:rPr>
          <w:color w:val="1F2937"/>
          <w:sz w:val="21"/>
          <w:szCs w:val="21"/>
        </w:rPr>
        <w:t>Ürünün talebini kalıcı kılan şey, sürekli sıkılaşan düzenleyici zorunluluklardır:</w:t>
      </w:r>
    </w:p>
    <w:p>
      <w:pPr>
        <w:pStyle w:val="ListParagraph"/>
        <w:numPr>
          <w:ilvl w:val="0"/>
          <w:numId w:val="4"/>
        </w:numPr>
        <w:spacing w:lineRule="exact" w:line="270" w:before="0" w:after="70"/>
        <w:jc w:val="both"/>
        <w:rPr/>
      </w:pPr>
      <w:r>
        <w:rPr>
          <w:b/>
          <w:bCs/>
          <w:color w:val="1E293B"/>
          <w:sz w:val="21"/>
          <w:szCs w:val="21"/>
        </w:rPr>
        <w:t xml:space="preserve">Türkiye (birincil pazar): </w:t>
      </w:r>
      <w:r>
        <w:rPr>
          <w:color w:val="1F2937"/>
          <w:sz w:val="21"/>
          <w:szCs w:val="21"/>
        </w:rPr>
        <w:t>5549 sayılı Kanun ve MASAK mevzuatı; yükümlüleri müşterini tanı, gerçek faydalanıcı (UBO) tespiti ve şüpheli işlem bildirimi (ŞİB) ile yükümlü kılar. 75.000 TL ve üzeri işlemlerde kimlik tespiti zorunludur ve müşterinin gerçek faydalanıcısı belirlenmelidir. 2025’te yayımlanan yeni MASAK rehberleriyle tüzel kişilerin gerçek faydalanıcısını tespit yükümlülüğü detaylandırıldı; karmaşık şirket yapılarının arkasındaki nihai gerçek kişileri bulmak için Ticaret Bakanlığı veri tabanlarının daha aktif kullanılması bekleniyor.</w:t>
      </w:r>
    </w:p>
    <w:p>
      <w:pPr>
        <w:pStyle w:val="ListParagraph"/>
        <w:numPr>
          <w:ilvl w:val="0"/>
          <w:numId w:val="1"/>
        </w:numPr>
        <w:spacing w:lineRule="exact" w:line="270" w:before="0" w:after="70"/>
        <w:jc w:val="both"/>
        <w:rPr/>
      </w:pPr>
      <w:r>
        <w:rPr>
          <w:b/>
          <w:bCs/>
          <w:color w:val="1E293B"/>
          <w:sz w:val="21"/>
          <w:szCs w:val="21"/>
        </w:rPr>
        <w:t xml:space="preserve">Yükümlü kitlesinin genişliği: </w:t>
      </w:r>
      <w:r>
        <w:rPr>
          <w:color w:val="1F2937"/>
          <w:sz w:val="21"/>
          <w:szCs w:val="21"/>
        </w:rPr>
        <w:t>Kapsam yalnızca bankalar ve fintech’lerle sınırlı değil — SMMM/YMM’ler, bağımsız denetçiler, kuyumcular, gayrimenkul ofisleri ve belirli işlemleri yapan avukatlar da yükümlü. Bu, dar ve rekabetin yoğun olduğu banka pazarı yerine geniş ve az hizmet almış bir ilk müşteri havuzu demektir.</w:t>
      </w:r>
    </w:p>
    <w:p>
      <w:pPr>
        <w:pStyle w:val="ListParagraph"/>
        <w:numPr>
          <w:ilvl w:val="0"/>
          <w:numId w:val="1"/>
        </w:numPr>
        <w:spacing w:lineRule="exact" w:line="270" w:before="0" w:after="70"/>
        <w:jc w:val="both"/>
        <w:rPr/>
      </w:pPr>
      <w:r>
        <w:rPr>
          <w:b/>
          <w:bCs/>
          <w:color w:val="1E293B"/>
          <w:sz w:val="21"/>
          <w:szCs w:val="21"/>
        </w:rPr>
        <w:t xml:space="preserve">Avrupa Birliği: </w:t>
      </w:r>
      <w:r>
        <w:rPr>
          <w:color w:val="1F2937"/>
          <w:sz w:val="21"/>
          <w:szCs w:val="21"/>
        </w:rPr>
        <w:t>AMLA (AB Kara Para Aklamayla Mücadele Otoritesi) Temmuz 2025’te faaliyete geçti ve müşteri durum tespiti standartlarını finalize ediyor; yeni AB AML kural seti Temmuz 2027’den itibaren tüm üye devletlerde doğrudan uygulanabilir olacak.</w:t>
      </w:r>
    </w:p>
    <w:p>
      <w:pPr>
        <w:pStyle w:val="ListParagraph"/>
        <w:numPr>
          <w:ilvl w:val="0"/>
          <w:numId w:val="1"/>
        </w:numPr>
        <w:spacing w:lineRule="exact" w:line="270" w:before="0" w:after="70"/>
        <w:jc w:val="both"/>
        <w:rPr/>
      </w:pPr>
      <w:r>
        <w:rPr>
          <w:b/>
          <w:bCs/>
          <w:color w:val="1E293B"/>
          <w:sz w:val="21"/>
          <w:szCs w:val="21"/>
        </w:rPr>
        <w:t xml:space="preserve">FATF ve ABD: </w:t>
      </w:r>
      <w:r>
        <w:rPr>
          <w:color w:val="1F2937"/>
          <w:sz w:val="21"/>
          <w:szCs w:val="21"/>
        </w:rPr>
        <w:t>FATF, 2022’de Tavsiye 24’ü sıkılaştırıp ülkeleri UBO kayıt mekanizmalarına yöneltti. ABD’de FinCEN’in CDD Kuralı, %25 ve üzeri sahiplik (ownership prong) ile bir kontrol kişisi (control prong) bazında gerçek faydalanıcının tespitini zorunlu kılıyor.</w:t>
      </w:r>
    </w:p>
    <w:p>
      <w:pPr>
        <w:pStyle w:val="Heading2"/>
        <w:spacing w:before="240" w:after="120"/>
        <w:rPr/>
      </w:pPr>
      <w:bookmarkStart w:id="5" w:name="__RefHeading___Toc876_3654386526"/>
      <w:bookmarkEnd w:id="5"/>
      <w:r>
        <w:rPr>
          <w:b/>
          <w:bCs/>
          <w:color w:val="0E7490"/>
          <w:sz w:val="25"/>
          <w:szCs w:val="25"/>
        </w:rPr>
        <w:t>2.3 Rakip manzarası ve boşluk</w:t>
      </w:r>
    </w:p>
    <w:p>
      <w:pPr>
        <w:pStyle w:val="Normal"/>
        <w:spacing w:lineRule="exact" w:line="276" w:before="0" w:after="120"/>
        <w:jc w:val="both"/>
        <w:rPr/>
      </w:pPr>
      <w:r>
        <w:rPr>
          <w:color w:val="1F2937"/>
          <w:sz w:val="21"/>
          <w:szCs w:val="21"/>
        </w:rPr>
        <w:t>Global pazarda olgun oyuncular var (Sumsub, Middesk, ComplyAdvantage, GBG, Alloy). Bunlar güçlü ama üç açıdan yerel boşluk bırakır: Türk kayıt sistemleri ve MASAK ŞİB süreçlerini yerel doğrulukta işlemezler; kurumsal fiyatları KOBİ ölçeğindeki Türk yükümlüsü için erişilemezdir; ve Türkçe isim/unvan varyantlarında (transliterasyon, eski/yeni unvan, “ı/i”) eşleştirme doğruluğu düşüktür. AEGIS’in kama (wedge) stratejisi bu üç boşluğa yerleşmek, sonra kanıtlanmış çekirdeği global veriyle ölçeklemektir.</w:t>
      </w:r>
    </w:p>
    <w:p>
      <w:pPr>
        <w:pStyle w:val="Normal"/>
        <w:rPr/>
      </w:pPr>
      <w:r>
        <w:rPr/>
      </w:r>
      <w:r>
        <w:br w:type="page"/>
      </w:r>
    </w:p>
    <w:p>
      <w:pPr>
        <w:pStyle w:val="Heading1"/>
        <w:spacing w:before="0" w:after="160"/>
        <w:rPr/>
      </w:pPr>
      <w:bookmarkStart w:id="6" w:name="__RefHeading___Toc878_3654386526"/>
      <w:bookmarkEnd w:id="6"/>
      <w:r>
        <w:rPr>
          <w:b/>
          <w:bCs/>
          <w:color w:val="1E293B"/>
          <w:sz w:val="30"/>
          <w:szCs w:val="30"/>
        </w:rPr>
        <w:t>3. Ürün Vizyonu ve Kapsam</w:t>
      </w:r>
    </w:p>
    <w:p>
      <w:pPr>
        <w:pStyle w:val="Heading2"/>
        <w:spacing w:before="240" w:after="120"/>
        <w:rPr/>
      </w:pPr>
      <w:bookmarkStart w:id="7" w:name="__RefHeading___Toc880_3654386526"/>
      <w:bookmarkEnd w:id="7"/>
      <w:r>
        <w:rPr>
          <w:b/>
          <w:bCs/>
          <w:color w:val="0E7490"/>
          <w:sz w:val="25"/>
          <w:szCs w:val="25"/>
        </w:rPr>
        <w:t>3.1 Vizyon</w:t>
      </w:r>
    </w:p>
    <w:p>
      <w:pPr>
        <w:pStyle w:val="Normal"/>
        <w:spacing w:lineRule="exact" w:line="276" w:before="0" w:after="120"/>
        <w:jc w:val="both"/>
        <w:rPr/>
      </w:pPr>
      <w:r>
        <w:rPr>
          <w:color w:val="1F2937"/>
          <w:sz w:val="21"/>
          <w:szCs w:val="21"/>
        </w:rPr>
        <w:t>AEGIS’in vizyonu, kurumsal due diligence’ı tek seferlik bir “kontrol” olmaktan çıkarıp denetime dayanıklı, sürekli çalışan bir sürece dönüştürmektir. Ürün bir risk puanı değil, her bulgunun kaynağına kadar izlenebildiği bir karar-destek dosyası üretir. Kritik ilke: AEGIS karar veren değil, kararı belgeleyen ve destekleyen sistemdir.</w:t>
      </w:r>
    </w:p>
    <w:p>
      <w:pPr>
        <w:pStyle w:val="Heading2"/>
        <w:spacing w:before="240" w:after="120"/>
        <w:rPr/>
      </w:pPr>
      <w:bookmarkStart w:id="8" w:name="__RefHeading___Toc882_3654386526"/>
      <w:bookmarkEnd w:id="8"/>
      <w:r>
        <w:rPr>
          <w:b/>
          <w:bCs/>
          <w:color w:val="0E7490"/>
          <w:sz w:val="25"/>
          <w:szCs w:val="25"/>
        </w:rPr>
        <w:t>3.2 Ürünün ürettiği üç çıktı</w:t>
      </w:r>
    </w:p>
    <w:p>
      <w:pPr>
        <w:pStyle w:val="ListParagraph"/>
        <w:numPr>
          <w:ilvl w:val="0"/>
          <w:numId w:val="5"/>
        </w:numPr>
        <w:spacing w:lineRule="exact" w:line="270" w:before="0" w:after="70"/>
        <w:jc w:val="both"/>
        <w:rPr/>
      </w:pPr>
      <w:r>
        <w:rPr>
          <w:b/>
          <w:bCs/>
          <w:color w:val="1E293B"/>
          <w:sz w:val="21"/>
          <w:szCs w:val="21"/>
        </w:rPr>
        <w:t xml:space="preserve">Doğrulanmış kurum profili: </w:t>
      </w:r>
      <w:r>
        <w:rPr>
          <w:color w:val="1F2937"/>
          <w:sz w:val="21"/>
          <w:szCs w:val="21"/>
        </w:rPr>
        <w:t>Tescil durumu, unvan, adres, yetkililer, faaliyet alanı ve nihai gerçek faydalanıcılar dâhil, güvenilir kaynaklardan teyit edilmiş yapı.</w:t>
      </w:r>
    </w:p>
    <w:p>
      <w:pPr>
        <w:pStyle w:val="ListParagraph"/>
        <w:numPr>
          <w:ilvl w:val="0"/>
          <w:numId w:val="2"/>
        </w:numPr>
        <w:spacing w:lineRule="exact" w:line="270" w:before="0" w:after="70"/>
        <w:jc w:val="both"/>
        <w:rPr/>
      </w:pPr>
      <w:r>
        <w:rPr>
          <w:b/>
          <w:bCs/>
          <w:color w:val="1E293B"/>
          <w:sz w:val="21"/>
          <w:szCs w:val="21"/>
        </w:rPr>
        <w:t xml:space="preserve">Denetime dayanıklı risk değerlendirmesi: </w:t>
      </w:r>
      <w:r>
        <w:rPr>
          <w:color w:val="1F2937"/>
          <w:sz w:val="21"/>
          <w:szCs w:val="21"/>
        </w:rPr>
        <w:t>Yaptırım/PEP/olumsuz medya taraması sonuçları, açıklanabilir risk skoru ve her bulguya iliştirilmiş kaynak/kanıt izi.</w:t>
      </w:r>
    </w:p>
    <w:p>
      <w:pPr>
        <w:pStyle w:val="ListParagraph"/>
        <w:numPr>
          <w:ilvl w:val="0"/>
          <w:numId w:val="2"/>
        </w:numPr>
        <w:spacing w:lineRule="exact" w:line="270" w:before="0" w:after="70"/>
        <w:jc w:val="both"/>
        <w:rPr/>
      </w:pPr>
      <w:r>
        <w:rPr>
          <w:b/>
          <w:bCs/>
          <w:color w:val="1E293B"/>
          <w:sz w:val="21"/>
          <w:szCs w:val="21"/>
        </w:rPr>
        <w:t xml:space="preserve">Sürekli izleme: </w:t>
      </w:r>
      <w:r>
        <w:rPr>
          <w:color w:val="1F2937"/>
          <w:sz w:val="21"/>
          <w:szCs w:val="21"/>
        </w:rPr>
        <w:t>İlişki devam ettikçe sahiplik değişikliği, yeni yaptırım kaydı veya olumsuz haber çıktığında otomatik uyarı ve yeniden değerlendirme.</w:t>
      </w:r>
    </w:p>
    <w:p>
      <w:pPr>
        <w:pStyle w:val="Heading2"/>
        <w:spacing w:before="240" w:after="120"/>
        <w:rPr/>
      </w:pPr>
      <w:bookmarkStart w:id="9" w:name="__RefHeading___Toc884_3654386526"/>
      <w:bookmarkEnd w:id="9"/>
      <w:r>
        <w:rPr>
          <w:b/>
          <w:bCs/>
          <w:color w:val="0E7490"/>
          <w:sz w:val="25"/>
          <w:szCs w:val="25"/>
        </w:rPr>
        <w:t>3.3 Kapsam sınırları (MVP’de kapsam dışı)</w:t>
      </w:r>
    </w:p>
    <w:p>
      <w:pPr>
        <w:pStyle w:val="ListParagraph"/>
        <w:numPr>
          <w:ilvl w:val="0"/>
          <w:numId w:val="1"/>
        </w:numPr>
        <w:spacing w:lineRule="exact" w:line="270" w:before="0" w:after="70"/>
        <w:jc w:val="both"/>
        <w:rPr/>
      </w:pPr>
      <w:r>
        <w:rPr>
          <w:color w:val="1F2937"/>
          <w:sz w:val="21"/>
          <w:szCs w:val="21"/>
        </w:rPr>
        <w:t>Bireysel KYC / uzaktan kimlik doğrulama (yüz eşleştirme, canlılık testi) — MVP dışı, sonraki faz.</w:t>
      </w:r>
    </w:p>
    <w:p>
      <w:pPr>
        <w:pStyle w:val="ListParagraph"/>
        <w:numPr>
          <w:ilvl w:val="0"/>
          <w:numId w:val="1"/>
        </w:numPr>
        <w:spacing w:lineRule="exact" w:line="270" w:before="0" w:after="70"/>
        <w:jc w:val="both"/>
        <w:rPr/>
      </w:pPr>
      <w:r>
        <w:rPr>
          <w:color w:val="1F2937"/>
          <w:sz w:val="21"/>
          <w:szCs w:val="21"/>
        </w:rPr>
        <w:t>İşlem izleme (transaction monitoring) — ayrı bir ürün alanıdır, MVP’de yok.</w:t>
      </w:r>
    </w:p>
    <w:p>
      <w:pPr>
        <w:pStyle w:val="ListParagraph"/>
        <w:numPr>
          <w:ilvl w:val="0"/>
          <w:numId w:val="1"/>
        </w:numPr>
        <w:spacing w:lineRule="exact" w:line="270" w:before="0" w:after="70"/>
        <w:jc w:val="both"/>
        <w:rPr/>
      </w:pPr>
      <w:r>
        <w:rPr>
          <w:color w:val="1F2937"/>
          <w:sz w:val="21"/>
          <w:szCs w:val="21"/>
        </w:rPr>
        <w:t>Otomatik ŞİB gönderimi — MVP’de ŞİB taslağı/formu üretilir; MASAK’a resmi iletim kullanıcı sorumluluğundadır.</w:t>
      </w:r>
    </w:p>
    <w:p>
      <w:pPr>
        <w:pStyle w:val="ListParagraph"/>
        <w:numPr>
          <w:ilvl w:val="0"/>
          <w:numId w:val="1"/>
        </w:numPr>
        <w:spacing w:lineRule="exact" w:line="270" w:before="0" w:after="70"/>
        <w:jc w:val="both"/>
        <w:rPr/>
      </w:pPr>
      <w:r>
        <w:rPr>
          <w:color w:val="1F2937"/>
          <w:sz w:val="21"/>
          <w:szCs w:val="21"/>
        </w:rPr>
        <w:t>Ürün, nihai uyum kararını vermez; yükümlünün uzmanına dayanak sunar (sorumluluk sınırı sözleşmeye yazılır).</w:t>
      </w:r>
    </w:p>
    <w:p>
      <w:pPr>
        <w:pStyle w:val="Normal"/>
        <w:rPr/>
      </w:pPr>
      <w:r>
        <w:rPr/>
      </w:r>
      <w:r>
        <w:br w:type="page"/>
      </w:r>
    </w:p>
    <w:p>
      <w:pPr>
        <w:pStyle w:val="Heading1"/>
        <w:spacing w:before="0" w:after="160"/>
        <w:rPr/>
      </w:pPr>
      <w:bookmarkStart w:id="10" w:name="__RefHeading___Toc886_3654386526"/>
      <w:bookmarkEnd w:id="10"/>
      <w:r>
        <w:rPr>
          <w:b/>
          <w:bCs/>
          <w:color w:val="1E293B"/>
          <w:sz w:val="30"/>
          <w:szCs w:val="30"/>
        </w:rPr>
        <w:t>4. Hedef Segment ve Pazara Giriş Stratejisi</w:t>
      </w:r>
    </w:p>
    <w:p>
      <w:pPr>
        <w:pStyle w:val="Heading2"/>
        <w:spacing w:before="240" w:after="120"/>
        <w:rPr/>
      </w:pPr>
      <w:bookmarkStart w:id="11" w:name="__RefHeading___Toc888_3654386526"/>
      <w:bookmarkEnd w:id="11"/>
      <w:r>
        <w:rPr>
          <w:b/>
          <w:bCs/>
          <w:color w:val="0E7490"/>
          <w:sz w:val="25"/>
          <w:szCs w:val="25"/>
        </w:rPr>
        <w:t>4.1 Seçilen çıpa segment ve gerekçe</w:t>
      </w:r>
    </w:p>
    <w:p>
      <w:pPr>
        <w:pStyle w:val="Normal"/>
        <w:spacing w:lineRule="exact" w:line="276" w:before="0" w:after="120"/>
        <w:jc w:val="both"/>
        <w:rPr/>
      </w:pPr>
      <w:r>
        <w:rPr>
          <w:color w:val="1F2937"/>
          <w:sz w:val="21"/>
          <w:szCs w:val="21"/>
        </w:rPr>
        <w:t>Birincil segment olarak SMMM/YMM ve bağımsız denetim ofisleri seçilmiştir. Gerekçe: (1) MASAK kapsamında açık yükümlülük taşırlar; (2) bankalara kıyasla satış döngüsü kısadır ve kurumsal satın alma sürtünmesi düşüktür; (3) sayıca çok ve bugün büyük ölçüde manuel çalıştıkları için değer önerisi anında somutlaşır; (4) her ofis onlarca müşteri kurumu tarar — doğal bir hacim çarpanı sağlar. Bu karar, banka/fintech segmentini dışlamaz; onlar Faz 3’te API-first ve EDD yetenekleriyle hedeflenir.</w:t>
      </w:r>
    </w:p>
    <w:tbl>
      <w:tblPr>
        <w:tblW w:w="9026" w:type="dxa"/>
        <w:jc w:val="left"/>
        <w:tblInd w:w="0" w:type="dxa"/>
        <w:tblLayout w:type="fixed"/>
        <w:tblCellMar>
          <w:top w:w="120" w:type="dxa"/>
          <w:left w:w="160" w:type="dxa"/>
          <w:bottom w:w="120" w:type="dxa"/>
          <w:right w:w="160" w:type="dxa"/>
        </w:tblCellMar>
      </w:tblPr>
      <w:tblGrid>
        <w:gridCol w:w="9026"/>
      </w:tblGrid>
      <w:tr>
        <w:trPr/>
        <w:tc>
          <w:tcPr>
            <w:tcW w:w="9026" w:type="dxa"/>
            <w:tcBorders>
              <w:top w:val="single" w:sz="2" w:space="0" w:color="0E7490"/>
              <w:left w:val="single" w:sz="18" w:space="0" w:color="0E7490"/>
              <w:bottom w:val="single" w:sz="2" w:space="0" w:color="0E7490"/>
              <w:right w:val="single" w:sz="2" w:space="0" w:color="0E7490"/>
            </w:tcBorders>
            <w:shd w:fill="ECFEFF" w:val="clear"/>
          </w:tcPr>
          <w:p>
            <w:pPr>
              <w:pStyle w:val="Normal"/>
              <w:spacing w:before="0" w:after="60"/>
              <w:rPr/>
            </w:pPr>
            <w:r>
              <w:rPr>
                <w:b/>
                <w:bCs/>
                <w:color w:val="0F766E"/>
                <w:sz w:val="21"/>
                <w:szCs w:val="21"/>
              </w:rPr>
              <w:t>Ayarlanabilir karar</w:t>
            </w:r>
          </w:p>
          <w:p>
            <w:pPr>
              <w:pStyle w:val="Normal"/>
              <w:jc w:val="both"/>
              <w:rPr/>
            </w:pPr>
            <w:r>
              <w:rPr>
                <w:color w:val="334155"/>
                <w:sz w:val="20"/>
                <w:szCs w:val="20"/>
              </w:rPr>
              <w:t>Segment çıpası kesin değil, doğrulanabilir bir varsayımdır. İlk 10–15 keşif görüşmesi SMMM/YMM tarafını doğrulamazsa, ikinci en güçlü aday “tedarikçi onboarding yapan orta ölçekli şirketler”dir. Karar, mimariyi değil yalnızca ilk arayüz/rapor şablonlarını etkiler.</w:t>
            </w:r>
          </w:p>
        </w:tc>
      </w:tr>
    </w:tbl>
    <w:p>
      <w:pPr>
        <w:pStyle w:val="Heading2"/>
        <w:spacing w:before="240" w:after="120"/>
        <w:rPr/>
      </w:pPr>
      <w:bookmarkStart w:id="12" w:name="__RefHeading___Toc890_3654386526"/>
      <w:bookmarkEnd w:id="12"/>
      <w:r>
        <w:rPr>
          <w:b/>
          <w:bCs/>
          <w:color w:val="0E7490"/>
          <w:sz w:val="25"/>
          <w:szCs w:val="25"/>
        </w:rPr>
        <w:t>4.2 Segment bazlı değer önerileri</w:t>
      </w:r>
    </w:p>
    <w:tbl>
      <w:tblPr>
        <w:tblW w:w="9026" w:type="dxa"/>
        <w:jc w:val="left"/>
        <w:tblInd w:w="0" w:type="dxa"/>
        <w:tblLayout w:type="fixed"/>
        <w:tblCellMar>
          <w:top w:w="80" w:type="dxa"/>
          <w:left w:w="100" w:type="dxa"/>
          <w:bottom w:w="80" w:type="dxa"/>
          <w:right w:w="100" w:type="dxa"/>
        </w:tblCellMar>
      </w:tblPr>
      <w:tblGrid>
        <w:gridCol w:w="2600"/>
        <w:gridCol w:w="3200"/>
        <w:gridCol w:w="3226"/>
      </w:tblGrid>
      <w:tr>
        <w:trPr>
          <w:tblHeader w:val="true"/>
        </w:trPr>
        <w:tc>
          <w:tcPr>
            <w:tcW w:w="2600"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Segment</w:t>
            </w:r>
          </w:p>
        </w:tc>
        <w:tc>
          <w:tcPr>
            <w:tcW w:w="3200"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Acı noktası</w:t>
            </w:r>
          </w:p>
        </w:tc>
        <w:tc>
          <w:tcPr>
            <w:tcW w:w="3226"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AEGIS değeri</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SMMM/YMM &amp; denetim ofisleri</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Manuel MASAK kimlik/UBO tespiti, dağınık kanıt, denetim riski</w:t>
            </w:r>
          </w:p>
        </w:tc>
        <w:tc>
          <w:tcPr>
            <w:tcW w:w="32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Tek ekranda doğrulama + ŞİB taslağı + arşiv</w:t>
            </w:r>
          </w:p>
        </w:tc>
      </w:tr>
      <w:tr>
        <w:trPr/>
        <w:tc>
          <w:tcPr>
            <w:tcW w:w="26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Fintech / ödeme kuruluşları</w:t>
            </w:r>
          </w:p>
        </w:tc>
        <w:tc>
          <w:tcPr>
            <w:tcW w:w="32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Ölçeklenebilir onboarding, yüksek hacim</w:t>
            </w:r>
          </w:p>
        </w:tc>
        <w:tc>
          <w:tcPr>
            <w:tcW w:w="32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API-first tarama + sürekli izleme</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Hukuk büroları</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Karşı taraf/işlem due diligence, gizlilik</w:t>
            </w:r>
          </w:p>
        </w:tc>
        <w:tc>
          <w:tcPr>
            <w:tcW w:w="32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Self-host uyumlu, kaynak izli dosya</w:t>
            </w:r>
          </w:p>
        </w:tc>
      </w:tr>
      <w:tr>
        <w:trPr/>
        <w:tc>
          <w:tcPr>
            <w:tcW w:w="26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Tedarikçi onboarding yapan şirketler</w:t>
            </w:r>
          </w:p>
        </w:tc>
        <w:tc>
          <w:tcPr>
            <w:tcW w:w="32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Toplu tedarikçi riski, yaptırım maruziyeti</w:t>
            </w:r>
          </w:p>
        </w:tc>
        <w:tc>
          <w:tcPr>
            <w:tcW w:w="32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Batch tarama + risk skoru + uyarı</w:t>
            </w:r>
          </w:p>
        </w:tc>
      </w:tr>
    </w:tbl>
    <w:p>
      <w:pPr>
        <w:pStyle w:val="Heading2"/>
        <w:spacing w:before="240" w:after="120"/>
        <w:rPr/>
      </w:pPr>
      <w:bookmarkStart w:id="13" w:name="__RefHeading___Toc892_3654386526"/>
      <w:bookmarkEnd w:id="13"/>
      <w:r>
        <w:rPr>
          <w:b/>
          <w:bCs/>
          <w:color w:val="0E7490"/>
          <w:sz w:val="25"/>
          <w:szCs w:val="25"/>
        </w:rPr>
        <w:t>4.3 Pazara giriş</w:t>
      </w:r>
    </w:p>
    <w:p>
      <w:pPr>
        <w:pStyle w:val="ListParagraph"/>
        <w:numPr>
          <w:ilvl w:val="0"/>
          <w:numId w:val="1"/>
        </w:numPr>
        <w:spacing w:lineRule="exact" w:line="270" w:before="0" w:after="70"/>
        <w:jc w:val="both"/>
        <w:rPr/>
      </w:pPr>
      <w:r>
        <w:rPr>
          <w:color w:val="1F2937"/>
          <w:sz w:val="21"/>
          <w:szCs w:val="21"/>
        </w:rPr>
        <w:t>Aşama 1 — Referans müşteri: 3–5 SMMM/YMM ofisiyle ücretsiz pilot; gerçek dosyalar üzerinde doğruluk ve zaman tasarrufu ölçülür, vaka çalışması üretilir.</w:t>
      </w:r>
    </w:p>
    <w:p>
      <w:pPr>
        <w:pStyle w:val="ListParagraph"/>
        <w:numPr>
          <w:ilvl w:val="0"/>
          <w:numId w:val="1"/>
        </w:numPr>
        <w:spacing w:lineRule="exact" w:line="270" w:before="0" w:after="70"/>
        <w:jc w:val="both"/>
        <w:rPr/>
      </w:pPr>
      <w:r>
        <w:rPr>
          <w:color w:val="1F2937"/>
          <w:sz w:val="21"/>
          <w:szCs w:val="21"/>
        </w:rPr>
        <w:t>Aşama 2 — Niş içerik &amp; topluluk: MASAK yükümlülüğü, UBO tespiti ve ŞİB üzerine Türkçe rehber içerikleri; muhasebe/mali müşavir toplulukları ve odalar üzerinden erişim.</w:t>
      </w:r>
    </w:p>
    <w:p>
      <w:pPr>
        <w:pStyle w:val="ListParagraph"/>
        <w:numPr>
          <w:ilvl w:val="0"/>
          <w:numId w:val="1"/>
        </w:numPr>
        <w:spacing w:lineRule="exact" w:line="270" w:before="0" w:after="70"/>
        <w:jc w:val="both"/>
        <w:rPr/>
      </w:pPr>
      <w:r>
        <w:rPr>
          <w:color w:val="1F2937"/>
          <w:sz w:val="21"/>
          <w:szCs w:val="21"/>
        </w:rPr>
        <w:t>Aşama 3 — Ortaklık: Muhasebe yazılımı sağlayıcıları ve meslek odalarıyla entegrasyon/tavsiye kanalları.</w:t>
      </w:r>
    </w:p>
    <w:p>
      <w:pPr>
        <w:pStyle w:val="ListParagraph"/>
        <w:numPr>
          <w:ilvl w:val="0"/>
          <w:numId w:val="1"/>
        </w:numPr>
        <w:spacing w:lineRule="exact" w:line="270" w:before="0" w:after="70"/>
        <w:jc w:val="both"/>
        <w:rPr/>
      </w:pPr>
      <w:r>
        <w:rPr>
          <w:color w:val="1F2937"/>
          <w:sz w:val="21"/>
          <w:szCs w:val="21"/>
        </w:rPr>
        <w:t>Aşama 4 — Global genişleme: Yerelde kanıtlanan çekirdek, OpenSanctions global verisiyle EU/UK pazarına API-first olarak açılır.</w:t>
      </w:r>
    </w:p>
    <w:p>
      <w:pPr>
        <w:pStyle w:val="Normal"/>
        <w:rPr/>
      </w:pPr>
      <w:r>
        <w:rPr/>
      </w:r>
      <w:r>
        <w:br w:type="page"/>
      </w:r>
    </w:p>
    <w:p>
      <w:pPr>
        <w:pStyle w:val="Heading1"/>
        <w:spacing w:before="0" w:after="160"/>
        <w:rPr/>
      </w:pPr>
      <w:bookmarkStart w:id="14" w:name="__RefHeading___Toc894_3654386526"/>
      <w:bookmarkEnd w:id="14"/>
      <w:r>
        <w:rPr>
          <w:b/>
          <w:bCs/>
          <w:color w:val="1E293B"/>
          <w:sz w:val="30"/>
          <w:szCs w:val="30"/>
        </w:rPr>
        <w:t>5. Fonksiyonel Gereksinimler ve Özellik Seti</w:t>
      </w:r>
    </w:p>
    <w:p>
      <w:pPr>
        <w:pStyle w:val="Normal"/>
        <w:spacing w:lineRule="exact" w:line="276" w:before="0" w:after="120"/>
        <w:jc w:val="both"/>
        <w:rPr/>
      </w:pPr>
      <w:r>
        <w:rPr>
          <w:color w:val="1F2937"/>
          <w:sz w:val="21"/>
          <w:szCs w:val="21"/>
        </w:rPr>
        <w:t>Özellikler üç dalgaya ayrılmıştır: çekirdek (MVP) mutlaka gereken minimum; farklılaştırıcı katman ürünü rakiplerden ayıran değer; ölçek katmanı büyümeyi ve yapışkanlığı sağlar. Her özellik, sağladığı iş değeri ve tahmini uygulama emeğiyle önceliklendirilmiştir.</w:t>
      </w:r>
    </w:p>
    <w:p>
      <w:pPr>
        <w:pStyle w:val="Heading2"/>
        <w:spacing w:before="240" w:after="120"/>
        <w:rPr/>
      </w:pPr>
      <w:bookmarkStart w:id="15" w:name="__RefHeading___Toc896_3654386526"/>
      <w:bookmarkEnd w:id="15"/>
      <w:r>
        <w:rPr>
          <w:b/>
          <w:bCs/>
          <w:color w:val="0E7490"/>
          <w:sz w:val="25"/>
          <w:szCs w:val="25"/>
        </w:rPr>
        <w:t>5.1 Çekirdek modüller (MVP)</w:t>
      </w:r>
    </w:p>
    <w:p>
      <w:pPr>
        <w:pStyle w:val="Heading3"/>
        <w:spacing w:before="180" w:after="90"/>
        <w:rPr/>
      </w:pPr>
      <w:bookmarkStart w:id="16" w:name="__RefHeading___Toc898_3654386526"/>
      <w:bookmarkEnd w:id="16"/>
      <w:r>
        <w:rPr>
          <w:b/>
          <w:bCs/>
          <w:color w:val="1E293B"/>
          <w:sz w:val="22"/>
          <w:szCs w:val="22"/>
        </w:rPr>
        <w:t>M1 — Kurum doğrulama ve kimlik tespiti</w:t>
      </w:r>
    </w:p>
    <w:p>
      <w:pPr>
        <w:pStyle w:val="ListParagraph"/>
        <w:numPr>
          <w:ilvl w:val="0"/>
          <w:numId w:val="1"/>
        </w:numPr>
        <w:spacing w:lineRule="exact" w:line="270" w:before="0" w:after="70"/>
        <w:jc w:val="both"/>
        <w:rPr/>
      </w:pPr>
      <w:r>
        <w:rPr>
          <w:color w:val="1F2937"/>
          <w:sz w:val="21"/>
          <w:szCs w:val="21"/>
        </w:rPr>
        <w:t>Şirket adı / vergi no / MERSIS no ile sorgu; tescil durumu, unvan, adres, yetkili ve faaliyet alanının resmi kayıtlardan çekilmesi.</w:t>
      </w:r>
    </w:p>
    <w:p>
      <w:pPr>
        <w:pStyle w:val="ListParagraph"/>
        <w:numPr>
          <w:ilvl w:val="0"/>
          <w:numId w:val="1"/>
        </w:numPr>
        <w:spacing w:lineRule="exact" w:line="270" w:before="0" w:after="70"/>
        <w:jc w:val="both"/>
        <w:rPr/>
      </w:pPr>
      <w:r>
        <w:rPr>
          <w:color w:val="1F2937"/>
          <w:sz w:val="21"/>
          <w:szCs w:val="21"/>
        </w:rPr>
        <w:t>Girilen bilgi ile kayıt arasındaki tutarsızlıkların işaretlenmesi (MASAK’ın şüpheli işlem tespitinin ön koşulu).</w:t>
      </w:r>
    </w:p>
    <w:p>
      <w:pPr>
        <w:pStyle w:val="Heading3"/>
        <w:spacing w:before="180" w:after="90"/>
        <w:rPr/>
      </w:pPr>
      <w:bookmarkStart w:id="17" w:name="__RefHeading___Toc900_3654386526"/>
      <w:bookmarkEnd w:id="17"/>
      <w:r>
        <w:rPr>
          <w:b/>
          <w:bCs/>
          <w:color w:val="1E293B"/>
          <w:sz w:val="22"/>
          <w:szCs w:val="22"/>
        </w:rPr>
        <w:t>M2 — Gerçek faydalanıcı (UBO) / sahiplik grafiği</w:t>
      </w:r>
    </w:p>
    <w:p>
      <w:pPr>
        <w:pStyle w:val="ListParagraph"/>
        <w:numPr>
          <w:ilvl w:val="0"/>
          <w:numId w:val="1"/>
        </w:numPr>
        <w:spacing w:lineRule="exact" w:line="270" w:before="0" w:after="70"/>
        <w:jc w:val="both"/>
        <w:rPr/>
      </w:pPr>
      <w:r>
        <w:rPr>
          <w:color w:val="1F2937"/>
          <w:sz w:val="21"/>
          <w:szCs w:val="21"/>
        </w:rPr>
        <w:t>Ortaklık zincirinin çıkarılması; katmanlı yapılarda dahi %25 eşiğini aşan gerçek kişilerin tespiti.</w:t>
      </w:r>
    </w:p>
    <w:p>
      <w:pPr>
        <w:pStyle w:val="ListParagraph"/>
        <w:numPr>
          <w:ilvl w:val="0"/>
          <w:numId w:val="1"/>
        </w:numPr>
        <w:spacing w:lineRule="exact" w:line="270" w:before="0" w:after="70"/>
        <w:jc w:val="both"/>
        <w:rPr/>
      </w:pPr>
      <w:r>
        <w:rPr>
          <w:color w:val="1F2937"/>
          <w:sz w:val="21"/>
          <w:szCs w:val="21"/>
        </w:rPr>
        <w:t>Sahiplik ilişkilerinin görselleştirilebilir bir grafik olarak modellenmesi ve gezilebilmesi.</w:t>
      </w:r>
    </w:p>
    <w:p>
      <w:pPr>
        <w:pStyle w:val="Heading3"/>
        <w:spacing w:before="180" w:after="90"/>
        <w:rPr/>
      </w:pPr>
      <w:bookmarkStart w:id="18" w:name="__RefHeading___Toc902_3654386526"/>
      <w:bookmarkEnd w:id="18"/>
      <w:r>
        <w:rPr>
          <w:b/>
          <w:bCs/>
          <w:color w:val="1E293B"/>
          <w:sz w:val="22"/>
          <w:szCs w:val="22"/>
        </w:rPr>
        <w:t>M3 — Yaptırım / PEP / watchlist taraması</w:t>
      </w:r>
    </w:p>
    <w:p>
      <w:pPr>
        <w:pStyle w:val="ListParagraph"/>
        <w:numPr>
          <w:ilvl w:val="0"/>
          <w:numId w:val="1"/>
        </w:numPr>
        <w:spacing w:lineRule="exact" w:line="270" w:before="0" w:after="70"/>
        <w:jc w:val="both"/>
        <w:rPr/>
      </w:pPr>
      <w:r>
        <w:rPr>
          <w:color w:val="1F2937"/>
          <w:sz w:val="21"/>
          <w:szCs w:val="21"/>
        </w:rPr>
        <w:t>Kurumun ve tüm kilit kişilerin OFAC, EU, UN, UK ve yerel listeler ile PEP’lere karşı taranması.</w:t>
      </w:r>
    </w:p>
    <w:p>
      <w:pPr>
        <w:pStyle w:val="ListParagraph"/>
        <w:numPr>
          <w:ilvl w:val="0"/>
          <w:numId w:val="1"/>
        </w:numPr>
        <w:spacing w:lineRule="exact" w:line="270" w:before="0" w:after="70"/>
        <w:jc w:val="both"/>
        <w:rPr/>
      </w:pPr>
      <w:r>
        <w:rPr>
          <w:color w:val="1F2937"/>
          <w:sz w:val="21"/>
          <w:szCs w:val="21"/>
        </w:rPr>
        <w:t>Eşleşme skoru ve “neden eşleşti” gerekçesiyle sonuç; transliterasyon ve kısmi ad toleransı.</w:t>
      </w:r>
    </w:p>
    <w:p>
      <w:pPr>
        <w:pStyle w:val="Heading3"/>
        <w:spacing w:before="180" w:after="90"/>
        <w:rPr/>
      </w:pPr>
      <w:bookmarkStart w:id="19" w:name="__RefHeading___Toc904_3654386526"/>
      <w:bookmarkEnd w:id="19"/>
      <w:r>
        <w:rPr>
          <w:b/>
          <w:bCs/>
          <w:color w:val="1E293B"/>
          <w:sz w:val="22"/>
          <w:szCs w:val="22"/>
        </w:rPr>
        <w:t>M4 — Olumsuz medya (adverse media)</w:t>
      </w:r>
    </w:p>
    <w:p>
      <w:pPr>
        <w:pStyle w:val="ListParagraph"/>
        <w:numPr>
          <w:ilvl w:val="0"/>
          <w:numId w:val="1"/>
        </w:numPr>
        <w:spacing w:lineRule="exact" w:line="270" w:before="0" w:after="70"/>
        <w:jc w:val="both"/>
        <w:rPr/>
      </w:pPr>
      <w:r>
        <w:rPr>
          <w:color w:val="1F2937"/>
          <w:sz w:val="21"/>
          <w:szCs w:val="21"/>
        </w:rPr>
        <w:t>İlgili kişi/kurum hakkında olumsuz haber, dava, soruşturma taraması; yapay zekâ ile varlık ayrıştırma (aynı isimli farklı kişi elenir).</w:t>
      </w:r>
    </w:p>
    <w:p>
      <w:pPr>
        <w:pStyle w:val="Heading3"/>
        <w:spacing w:before="180" w:after="90"/>
        <w:rPr/>
      </w:pPr>
      <w:bookmarkStart w:id="20" w:name="__RefHeading___Toc906_3654386526"/>
      <w:bookmarkEnd w:id="20"/>
      <w:r>
        <w:rPr>
          <w:b/>
          <w:bCs/>
          <w:color w:val="1E293B"/>
          <w:sz w:val="22"/>
          <w:szCs w:val="22"/>
        </w:rPr>
        <w:t>M5 — Risk skoru, rapor ve denetim izi</w:t>
      </w:r>
    </w:p>
    <w:p>
      <w:pPr>
        <w:pStyle w:val="ListParagraph"/>
        <w:numPr>
          <w:ilvl w:val="0"/>
          <w:numId w:val="1"/>
        </w:numPr>
        <w:spacing w:lineRule="exact" w:line="270" w:before="0" w:after="70"/>
        <w:jc w:val="both"/>
        <w:rPr/>
      </w:pPr>
      <w:r>
        <w:rPr>
          <w:color w:val="1F2937"/>
          <w:sz w:val="21"/>
          <w:szCs w:val="21"/>
        </w:rPr>
        <w:t>Ağırlıklandırılmış, açıklanabilir risk skoru; her bulguya iliştirilmiş kaynak referansı.</w:t>
      </w:r>
    </w:p>
    <w:p>
      <w:pPr>
        <w:pStyle w:val="ListParagraph"/>
        <w:numPr>
          <w:ilvl w:val="0"/>
          <w:numId w:val="1"/>
        </w:numPr>
        <w:spacing w:lineRule="exact" w:line="270" w:before="0" w:after="70"/>
        <w:jc w:val="both"/>
        <w:rPr/>
      </w:pPr>
      <w:r>
        <w:rPr>
          <w:color w:val="1F2937"/>
          <w:sz w:val="21"/>
          <w:szCs w:val="21"/>
        </w:rPr>
        <w:t>Dışa aktarılabilir due diligence dosyası (Word/PDF) ve MASAK ŞİB taslağı üretimi.</w:t>
      </w:r>
    </w:p>
    <w:p>
      <w:pPr>
        <w:pStyle w:val="ListParagraph"/>
        <w:numPr>
          <w:ilvl w:val="0"/>
          <w:numId w:val="1"/>
        </w:numPr>
        <w:spacing w:lineRule="exact" w:line="270" w:before="0" w:after="70"/>
        <w:jc w:val="both"/>
        <w:rPr/>
      </w:pPr>
      <w:r>
        <w:rPr>
          <w:color w:val="1F2937"/>
          <w:sz w:val="21"/>
          <w:szCs w:val="21"/>
        </w:rPr>
        <w:t>Değişmez (immutable) denetim izi ve en az 5 yıllık saklama — regülatör belgelerin ilişki bitiminden sonra 5 yıl saklanmasını ister.</w:t>
      </w:r>
    </w:p>
    <w:p>
      <w:pPr>
        <w:pStyle w:val="Heading2"/>
        <w:spacing w:before="240" w:after="120"/>
        <w:rPr/>
      </w:pPr>
      <w:bookmarkStart w:id="21" w:name="__RefHeading___Toc908_3654386526"/>
      <w:bookmarkEnd w:id="21"/>
      <w:r>
        <w:rPr>
          <w:b/>
          <w:bCs/>
          <w:color w:val="0E7490"/>
          <w:sz w:val="25"/>
          <w:szCs w:val="25"/>
        </w:rPr>
        <w:t>5.2 Farklılaştırıcı katman (asıl moat)</w:t>
      </w:r>
    </w:p>
    <w:tbl>
      <w:tblPr>
        <w:tblW w:w="9026" w:type="dxa"/>
        <w:jc w:val="left"/>
        <w:tblInd w:w="0" w:type="dxa"/>
        <w:tblLayout w:type="fixed"/>
        <w:tblCellMar>
          <w:top w:w="80" w:type="dxa"/>
          <w:left w:w="100" w:type="dxa"/>
          <w:bottom w:w="80" w:type="dxa"/>
          <w:right w:w="100" w:type="dxa"/>
        </w:tblCellMar>
      </w:tblPr>
      <w:tblGrid>
        <w:gridCol w:w="3400"/>
        <w:gridCol w:w="4525"/>
        <w:gridCol w:w="1101"/>
      </w:tblGrid>
      <w:tr>
        <w:trPr>
          <w:tblHeader w:val="true"/>
        </w:trPr>
        <w:tc>
          <w:tcPr>
            <w:tcW w:w="3400"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Özellik</w:t>
            </w:r>
          </w:p>
        </w:tc>
        <w:tc>
          <w:tcPr>
            <w:tcW w:w="4525"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İş değeri</w:t>
            </w:r>
          </w:p>
        </w:tc>
        <w:tc>
          <w:tcPr>
            <w:tcW w:w="1101"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Emek</w:t>
            </w:r>
          </w:p>
        </w:tc>
      </w:tr>
      <w:tr>
        <w:trPr/>
        <w:tc>
          <w:tcPr>
            <w:tcW w:w="3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Sürekli izleme (perpetual monitoring)</w:t>
            </w:r>
          </w:p>
        </w:tc>
        <w:tc>
          <w:tcPr>
            <w:tcW w:w="4525"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Tek seferlik değil tekrarlayan gelir; ortaklık/yaptırım değişiminde otomatik uyarı ve EDD tetikleme</w:t>
            </w:r>
          </w:p>
        </w:tc>
        <w:tc>
          <w:tcPr>
            <w:tcW w:w="1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Orta</w:t>
            </w:r>
          </w:p>
        </w:tc>
      </w:tr>
      <w:tr>
        <w:trPr/>
        <w:tc>
          <w:tcPr>
            <w:tcW w:w="34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Açıklanabilir, kanıt-izli risk skoru</w:t>
            </w:r>
          </w:p>
        </w:tc>
        <w:tc>
          <w:tcPr>
            <w:tcW w:w="4525"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Denetçi karşısında en güçlü satış argümanı; her skorun altında kaynağa giden gerekçe</w:t>
            </w:r>
          </w:p>
        </w:tc>
        <w:tc>
          <w:tcPr>
            <w:tcW w:w="11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Orta</w:t>
            </w:r>
          </w:p>
        </w:tc>
      </w:tr>
      <w:tr>
        <w:trPr/>
        <w:tc>
          <w:tcPr>
            <w:tcW w:w="3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AI olumsuz-medya + varlık ayrıştırma</w:t>
            </w:r>
          </w:p>
        </w:tc>
        <w:tc>
          <w:tcPr>
            <w:tcW w:w="4525"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Sektörün en büyük acısı olan yanlış pozitifi düşürür; doğrudan fiyatlanabilir zaman tasarrufu</w:t>
            </w:r>
          </w:p>
        </w:tc>
        <w:tc>
          <w:tcPr>
            <w:tcW w:w="1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Yüksek</w:t>
            </w:r>
          </w:p>
        </w:tc>
      </w:tr>
      <w:tr>
        <w:trPr/>
        <w:tc>
          <w:tcPr>
            <w:tcW w:w="34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Belge yükle → otomatik çıkarım (Docling)</w:t>
            </w:r>
          </w:p>
        </w:tc>
        <w:tc>
          <w:tcPr>
            <w:tcW w:w="4525"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İmza sirküleri/faaliyet belgesinden UBO ve yetkili otomatik ayıklanır; TenderIQ’dan taşınır</w:t>
            </w:r>
          </w:p>
        </w:tc>
        <w:tc>
          <w:tcPr>
            <w:tcW w:w="11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Düşük</w:t>
            </w:r>
          </w:p>
        </w:tc>
      </w:tr>
      <w:tr>
        <w:trPr/>
        <w:tc>
          <w:tcPr>
            <w:tcW w:w="3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MERSIS/Ticaret Sicil + ŞİB üretimi</w:t>
            </w:r>
          </w:p>
        </w:tc>
        <w:tc>
          <w:tcPr>
            <w:tcW w:w="4525"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Türk yükümlüsü için vazgeçilmezlik; global rakiplerin yapmadığı yerel köprü</w:t>
            </w:r>
          </w:p>
        </w:tc>
        <w:tc>
          <w:tcPr>
            <w:tcW w:w="1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Orta</w:t>
            </w:r>
          </w:p>
        </w:tc>
      </w:tr>
      <w:tr>
        <w:trPr/>
        <w:tc>
          <w:tcPr>
            <w:tcW w:w="34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Türkçe/çok dilli isim eşleştirme</w:t>
            </w:r>
          </w:p>
        </w:tc>
        <w:tc>
          <w:tcPr>
            <w:tcW w:w="4525"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Yerel doğrulukta global araçları sollar; yanlış pozitif/negatifi azaltır</w:t>
            </w:r>
          </w:p>
        </w:tc>
        <w:tc>
          <w:tcPr>
            <w:tcW w:w="11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Yüksek</w:t>
            </w:r>
          </w:p>
        </w:tc>
      </w:tr>
    </w:tbl>
    <w:p>
      <w:pPr>
        <w:pStyle w:val="Normal"/>
        <w:spacing w:before="0" w:after="80"/>
        <w:rPr/>
      </w:pPr>
      <w:r>
        <w:rPr/>
      </w:r>
    </w:p>
    <w:p>
      <w:pPr>
        <w:pStyle w:val="Heading2"/>
        <w:spacing w:before="240" w:after="120"/>
        <w:rPr/>
      </w:pPr>
      <w:bookmarkStart w:id="22" w:name="__RefHeading___Toc910_3654386526"/>
      <w:bookmarkEnd w:id="22"/>
      <w:r>
        <w:rPr>
          <w:b/>
          <w:bCs/>
          <w:color w:val="0E7490"/>
          <w:sz w:val="25"/>
          <w:szCs w:val="25"/>
        </w:rPr>
        <w:t>5.3 Ölçek ve yapışkanlık katmanı</w:t>
      </w:r>
    </w:p>
    <w:p>
      <w:pPr>
        <w:pStyle w:val="ListParagraph"/>
        <w:numPr>
          <w:ilvl w:val="0"/>
          <w:numId w:val="1"/>
        </w:numPr>
        <w:spacing w:lineRule="exact" w:line="270" w:before="0" w:after="70"/>
        <w:jc w:val="both"/>
        <w:rPr/>
      </w:pPr>
      <w:r>
        <w:rPr>
          <w:b/>
          <w:bCs/>
          <w:color w:val="1E293B"/>
          <w:sz w:val="21"/>
          <w:szCs w:val="21"/>
        </w:rPr>
        <w:t xml:space="preserve">Case management &amp; iş akışı: </w:t>
      </w:r>
      <w:r>
        <w:rPr>
          <w:color w:val="1F2937"/>
          <w:sz w:val="21"/>
          <w:szCs w:val="21"/>
        </w:rPr>
        <w:t>Ata, incele, onayla, EDD’ye yükselt — point-in-time kontrolü sürece dönüştürür.</w:t>
      </w:r>
    </w:p>
    <w:p>
      <w:pPr>
        <w:pStyle w:val="ListParagraph"/>
        <w:numPr>
          <w:ilvl w:val="0"/>
          <w:numId w:val="1"/>
        </w:numPr>
        <w:spacing w:lineRule="exact" w:line="270" w:before="0" w:after="70"/>
        <w:jc w:val="both"/>
        <w:rPr/>
      </w:pPr>
      <w:r>
        <w:rPr>
          <w:b/>
          <w:bCs/>
          <w:color w:val="1E293B"/>
          <w:sz w:val="21"/>
          <w:szCs w:val="21"/>
        </w:rPr>
        <w:t xml:space="preserve">Doğal dil soruşturması: </w:t>
      </w:r>
      <w:r>
        <w:rPr>
          <w:color w:val="1F2937"/>
          <w:sz w:val="21"/>
          <w:szCs w:val="21"/>
        </w:rPr>
        <w:t>“Bu tedarikçinin riskini özetle ve şüpheli noktaları listele” → LangGraph ile çok adımlı araştırma ajanı.</w:t>
      </w:r>
    </w:p>
    <w:p>
      <w:pPr>
        <w:pStyle w:val="ListParagraph"/>
        <w:numPr>
          <w:ilvl w:val="0"/>
          <w:numId w:val="1"/>
        </w:numPr>
        <w:spacing w:lineRule="exact" w:line="270" w:before="0" w:after="70"/>
        <w:jc w:val="both"/>
        <w:rPr/>
      </w:pPr>
      <w:r>
        <w:rPr>
          <w:b/>
          <w:bCs/>
          <w:color w:val="1E293B"/>
          <w:sz w:val="21"/>
          <w:szCs w:val="21"/>
        </w:rPr>
        <w:t xml:space="preserve">Toplu (batch) tarama: </w:t>
      </w:r>
      <w:r>
        <w:rPr>
          <w:color w:val="1F2937"/>
          <w:sz w:val="21"/>
          <w:szCs w:val="21"/>
        </w:rPr>
        <w:t>Yüzlerce tedarikçi tek CSV ile taranır.</w:t>
      </w:r>
    </w:p>
    <w:p>
      <w:pPr>
        <w:pStyle w:val="ListParagraph"/>
        <w:numPr>
          <w:ilvl w:val="0"/>
          <w:numId w:val="1"/>
        </w:numPr>
        <w:spacing w:lineRule="exact" w:line="270" w:before="0" w:after="70"/>
        <w:jc w:val="both"/>
        <w:rPr/>
      </w:pPr>
      <w:r>
        <w:rPr>
          <w:b/>
          <w:bCs/>
          <w:color w:val="1E293B"/>
          <w:sz w:val="21"/>
          <w:szCs w:val="21"/>
        </w:rPr>
        <w:t xml:space="preserve">API-first + no-code widget: </w:t>
      </w:r>
      <w:r>
        <w:rPr>
          <w:color w:val="1F2937"/>
          <w:sz w:val="21"/>
          <w:szCs w:val="21"/>
        </w:rPr>
        <w:t>Fintech API ister, muhasebe ofisi hazır arayüz ister — ikisi de sunulur.</w:t>
      </w:r>
    </w:p>
    <w:p>
      <w:pPr>
        <w:pStyle w:val="ListParagraph"/>
        <w:numPr>
          <w:ilvl w:val="0"/>
          <w:numId w:val="1"/>
        </w:numPr>
        <w:spacing w:lineRule="exact" w:line="270" w:before="0" w:after="70"/>
        <w:jc w:val="both"/>
        <w:rPr/>
      </w:pPr>
      <w:r>
        <w:rPr>
          <w:b/>
          <w:bCs/>
          <w:color w:val="1E293B"/>
          <w:sz w:val="21"/>
          <w:szCs w:val="21"/>
        </w:rPr>
        <w:t xml:space="preserve">White-label: </w:t>
      </w:r>
      <w:r>
        <w:rPr>
          <w:color w:val="1F2937"/>
          <w:sz w:val="21"/>
          <w:szCs w:val="21"/>
        </w:rPr>
        <w:t>SMMM/YMM ve MSSP’lere kendi markalarıyla sunum; tek müşteriyle onlarca alt-kullanıcıya erişim.</w:t>
      </w:r>
    </w:p>
    <w:p>
      <w:pPr>
        <w:pStyle w:val="Normal"/>
        <w:rPr/>
      </w:pPr>
      <w:r>
        <w:rPr/>
      </w:r>
      <w:r>
        <w:br w:type="page"/>
      </w:r>
    </w:p>
    <w:p>
      <w:pPr>
        <w:pStyle w:val="Heading1"/>
        <w:spacing w:before="0" w:after="160"/>
        <w:rPr/>
      </w:pPr>
      <w:bookmarkStart w:id="23" w:name="__RefHeading___Toc912_3654386526"/>
      <w:bookmarkEnd w:id="23"/>
      <w:r>
        <w:rPr>
          <w:b/>
          <w:bCs/>
          <w:color w:val="1E293B"/>
          <w:sz w:val="30"/>
          <w:szCs w:val="30"/>
        </w:rPr>
        <w:t>6. Sistem Mimarisi</w:t>
      </w:r>
    </w:p>
    <w:p>
      <w:pPr>
        <w:pStyle w:val="Normal"/>
        <w:spacing w:lineRule="exact" w:line="276" w:before="0" w:after="120"/>
        <w:jc w:val="both"/>
        <w:rPr/>
      </w:pPr>
      <w:r>
        <w:rPr>
          <w:color w:val="1F2937"/>
          <w:sz w:val="21"/>
          <w:szCs w:val="21"/>
        </w:rPr>
        <w:t>Bu bölüm, projeye özgü olarak seçilmiş mimari kararları ve gerekçelerini içerir. Temel ilke: TenderIQ ile kanıtlanmış yığını yeniden kullanarak teknik riski en aza indirmek, yeni karmaşıklığı yalnızca gerçekten gereken yere — varlık eşleştirme ve tarama motoruna — yatırmak. İkinci ilke: KVKK gereği müşteri verisinin kendi ortamından çıkmaması; bu, veri yerelleştirme ve self-host edilebilir bileşen seçimlerini yönlendirir.</w:t>
      </w:r>
    </w:p>
    <w:p>
      <w:pPr>
        <w:pStyle w:val="Heading2"/>
        <w:spacing w:before="240" w:after="120"/>
        <w:rPr/>
      </w:pPr>
      <w:bookmarkStart w:id="24" w:name="__RefHeading___Toc914_3654386526"/>
      <w:bookmarkEnd w:id="24"/>
      <w:r>
        <w:rPr>
          <w:b/>
          <w:bCs/>
          <w:color w:val="0E7490"/>
          <w:sz w:val="25"/>
          <w:szCs w:val="25"/>
        </w:rPr>
        <w:t>6.1 Katmanlı mimari genel bakışı</w:t>
      </w:r>
    </w:p>
    <w:p>
      <w:pPr>
        <w:pStyle w:val="Normal"/>
        <w:spacing w:lineRule="exact" w:line="276" w:before="0" w:after="120"/>
        <w:jc w:val="both"/>
        <w:rPr/>
      </w:pPr>
      <w:r>
        <w:rPr>
          <w:color w:val="1F2937"/>
          <w:sz w:val="21"/>
          <w:szCs w:val="21"/>
        </w:rPr>
        <w:t>Sistem, gevşek bağlı katmanlardan oluşur. İstemci → API ağ geçidi → uygulama servisleri → asenkron işçi katmanı → veri ve dış kaynaklar. Her tarama işi bir orkestrasyon hattı (pipeline) olarak modellenir ve tüm adımların çıktısı denetim izine yazılır.</w:t>
      </w:r>
    </w:p>
    <w:tbl>
      <w:tblPr>
        <w:tblW w:w="9026" w:type="dxa"/>
        <w:jc w:val="left"/>
        <w:tblInd w:w="0" w:type="dxa"/>
        <w:tblLayout w:type="fixed"/>
        <w:tblCellMar>
          <w:top w:w="80" w:type="dxa"/>
          <w:left w:w="100" w:type="dxa"/>
          <w:bottom w:w="80" w:type="dxa"/>
          <w:right w:w="100" w:type="dxa"/>
        </w:tblCellMar>
      </w:tblPr>
      <w:tblGrid>
        <w:gridCol w:w="1699"/>
        <w:gridCol w:w="3601"/>
        <w:gridCol w:w="3726"/>
      </w:tblGrid>
      <w:tr>
        <w:trPr>
          <w:tblHeader w:val="true"/>
        </w:trPr>
        <w:tc>
          <w:tcPr>
            <w:tcW w:w="1699"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Katman</w:t>
            </w:r>
          </w:p>
        </w:tc>
        <w:tc>
          <w:tcPr>
            <w:tcW w:w="3601"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Bileşenler</w:t>
            </w:r>
          </w:p>
        </w:tc>
        <w:tc>
          <w:tcPr>
            <w:tcW w:w="3726"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Sorumluluk</w:t>
            </w:r>
          </w:p>
        </w:tc>
      </w:tr>
      <w:tr>
        <w:trPr/>
        <w:tc>
          <w:tcPr>
            <w:tcW w:w="16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Sunum</w:t>
            </w:r>
          </w:p>
        </w:tc>
        <w:tc>
          <w:tcPr>
            <w:tcW w:w="36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Next.js 14 (App Router), React, TypeScript, Tailwind</w:t>
            </w:r>
          </w:p>
        </w:tc>
        <w:tc>
          <w:tcPr>
            <w:tcW w:w="37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Dashboard, dosya görüntüleme, UBO grafiği, rapor</w:t>
            </w:r>
          </w:p>
        </w:tc>
      </w:tr>
      <w:tr>
        <w:trPr/>
        <w:tc>
          <w:tcPr>
            <w:tcW w:w="16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API / Ağ geçidi</w:t>
            </w:r>
          </w:p>
        </w:tc>
        <w:tc>
          <w:tcPr>
            <w:tcW w:w="36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FastAPI (async), JWT auth, tenant çözümleme</w:t>
            </w:r>
          </w:p>
        </w:tc>
        <w:tc>
          <w:tcPr>
            <w:tcW w:w="37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Kimlik, yetki, istek doğrulama, oran sınırlama</w:t>
            </w:r>
          </w:p>
        </w:tc>
      </w:tr>
      <w:tr>
        <w:trPr/>
        <w:tc>
          <w:tcPr>
            <w:tcW w:w="16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Uygulama servisleri</w:t>
            </w:r>
          </w:p>
        </w:tc>
        <w:tc>
          <w:tcPr>
            <w:tcW w:w="36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Doğrulama, UBO, tarama, skorlama, rapor servisleri</w:t>
            </w:r>
          </w:p>
        </w:tc>
        <w:tc>
          <w:tcPr>
            <w:tcW w:w="37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İş kuralları ve orkestrasyon</w:t>
            </w:r>
          </w:p>
        </w:tc>
      </w:tr>
      <w:tr>
        <w:trPr/>
        <w:tc>
          <w:tcPr>
            <w:tcW w:w="16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Asenkron işçi</w:t>
            </w:r>
          </w:p>
        </w:tc>
        <w:tc>
          <w:tcPr>
            <w:tcW w:w="36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Celery + Redis (broker/result)</w:t>
            </w:r>
          </w:p>
        </w:tc>
        <w:tc>
          <w:tcPr>
            <w:tcW w:w="37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Tarama işleri, sürekli izleme, batch, belge işleme</w:t>
            </w:r>
          </w:p>
        </w:tc>
      </w:tr>
      <w:tr>
        <w:trPr/>
        <w:tc>
          <w:tcPr>
            <w:tcW w:w="16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Zekâ katmanı</w:t>
            </w:r>
          </w:p>
        </w:tc>
        <w:tc>
          <w:tcPr>
            <w:tcW w:w="36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LangGraph ajanları, LLM (Claude API), pgvector</w:t>
            </w:r>
          </w:p>
        </w:tc>
        <w:tc>
          <w:tcPr>
            <w:tcW w:w="37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Varlık ayrıştırma, olumsuz medya analizi, özet</w:t>
            </w:r>
          </w:p>
        </w:tc>
      </w:tr>
      <w:tr>
        <w:trPr/>
        <w:tc>
          <w:tcPr>
            <w:tcW w:w="16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Tarama motoru</w:t>
            </w:r>
          </w:p>
        </w:tc>
        <w:tc>
          <w:tcPr>
            <w:tcW w:w="36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Self-host OpenSanctions ‘yente’ matching API</w:t>
            </w:r>
          </w:p>
        </w:tc>
        <w:tc>
          <w:tcPr>
            <w:tcW w:w="37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Yaptırım/PEP/watchlist eşleştirme</w:t>
            </w:r>
          </w:p>
        </w:tc>
      </w:tr>
      <w:tr>
        <w:trPr/>
        <w:tc>
          <w:tcPr>
            <w:tcW w:w="16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Veri</w:t>
            </w:r>
          </w:p>
        </w:tc>
        <w:tc>
          <w:tcPr>
            <w:tcW w:w="36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PostgreSQL 16 + pgvector, Redis, obje depolama (S3-uyumlu)</w:t>
            </w:r>
          </w:p>
        </w:tc>
        <w:tc>
          <w:tcPr>
            <w:tcW w:w="37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Kiracı verisi, varlık grafiği, vektörler, belgeler</w:t>
            </w:r>
          </w:p>
        </w:tc>
      </w:tr>
      <w:tr>
        <w:trPr/>
        <w:tc>
          <w:tcPr>
            <w:tcW w:w="16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Dış kaynaklar</w:t>
            </w:r>
          </w:p>
        </w:tc>
        <w:tc>
          <w:tcPr>
            <w:tcW w:w="36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MERSIS, Ticaret Sicil, OpenSanctions veri seti, haber API</w:t>
            </w:r>
          </w:p>
        </w:tc>
        <w:tc>
          <w:tcPr>
            <w:tcW w:w="37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Ham veri beslemesi</w:t>
            </w:r>
          </w:p>
        </w:tc>
      </w:tr>
    </w:tbl>
    <w:p>
      <w:pPr>
        <w:pStyle w:val="Normal"/>
        <w:spacing w:before="0" w:after="80"/>
        <w:rPr/>
      </w:pPr>
      <w:r>
        <w:rPr/>
      </w:r>
    </w:p>
    <w:p>
      <w:pPr>
        <w:pStyle w:val="Heading2"/>
        <w:spacing w:before="240" w:after="120"/>
        <w:rPr/>
      </w:pPr>
      <w:bookmarkStart w:id="25" w:name="__RefHeading___Toc916_3654386526"/>
      <w:bookmarkEnd w:id="25"/>
      <w:r>
        <w:rPr>
          <w:b/>
          <w:bCs/>
          <w:color w:val="0E7490"/>
          <w:sz w:val="25"/>
          <w:szCs w:val="25"/>
        </w:rPr>
        <w:t>6.2 Teknoloji yığını kararları ve gerekçeleri</w:t>
      </w:r>
    </w:p>
    <w:tbl>
      <w:tblPr>
        <w:tblW w:w="9026" w:type="dxa"/>
        <w:jc w:val="left"/>
        <w:tblInd w:w="0" w:type="dxa"/>
        <w:tblLayout w:type="fixed"/>
        <w:tblCellMar>
          <w:top w:w="80" w:type="dxa"/>
          <w:left w:w="100" w:type="dxa"/>
          <w:bottom w:w="80" w:type="dxa"/>
          <w:right w:w="100" w:type="dxa"/>
        </w:tblCellMar>
      </w:tblPr>
      <w:tblGrid>
        <w:gridCol w:w="1899"/>
        <w:gridCol w:w="2101"/>
        <w:gridCol w:w="5026"/>
      </w:tblGrid>
      <w:tr>
        <w:trPr>
          <w:tblHeader w:val="true"/>
        </w:trPr>
        <w:tc>
          <w:tcPr>
            <w:tcW w:w="1899"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Alan</w:t>
            </w:r>
          </w:p>
        </w:tc>
        <w:tc>
          <w:tcPr>
            <w:tcW w:w="2101"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Seçim</w:t>
            </w:r>
          </w:p>
        </w:tc>
        <w:tc>
          <w:tcPr>
            <w:tcW w:w="5026"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Gerekçe / değerlendirilen alternatif</w:t>
            </w:r>
          </w:p>
        </w:tc>
      </w:tr>
      <w:tr>
        <w:trPr/>
        <w:tc>
          <w:tcPr>
            <w:tcW w:w="1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Backend framework</w:t>
            </w:r>
          </w:p>
        </w:tc>
        <w:tc>
          <w:tcPr>
            <w:tcW w:w="2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FastAPI</w:t>
            </w:r>
          </w:p>
        </w:tc>
        <w:tc>
          <w:tcPr>
            <w:tcW w:w="50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Async I/O tarama için ideal; API-first; TenderIQ’da kanıtlı. (Flask senkron kaldığından yalnızca hafif iç araçlarda)</w:t>
            </w:r>
          </w:p>
        </w:tc>
      </w:tr>
      <w:tr>
        <w:trPr/>
        <w:tc>
          <w:tcPr>
            <w:tcW w:w="1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Asenkron görev</w:t>
            </w:r>
          </w:p>
        </w:tc>
        <w:tc>
          <w:tcPr>
            <w:tcW w:w="21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Celery + Redis</w:t>
            </w:r>
          </w:p>
        </w:tc>
        <w:tc>
          <w:tcPr>
            <w:tcW w:w="50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Periyodik izleme, batch ve uzun tarama işleri; mevcut deneyim</w:t>
            </w:r>
          </w:p>
        </w:tc>
      </w:tr>
      <w:tr>
        <w:trPr/>
        <w:tc>
          <w:tcPr>
            <w:tcW w:w="1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Veritabanı</w:t>
            </w:r>
          </w:p>
        </w:tc>
        <w:tc>
          <w:tcPr>
            <w:tcW w:w="2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PostgreSQL 16</w:t>
            </w:r>
          </w:p>
        </w:tc>
        <w:tc>
          <w:tcPr>
            <w:tcW w:w="50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İlişkisel bütünlük + JSONB esneklik + olgun ekosistem</w:t>
            </w:r>
          </w:p>
        </w:tc>
      </w:tr>
      <w:tr>
        <w:trPr/>
        <w:tc>
          <w:tcPr>
            <w:tcW w:w="1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Vektör deposu</w:t>
            </w:r>
          </w:p>
        </w:tc>
        <w:tc>
          <w:tcPr>
            <w:tcW w:w="21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pgvector (Postgres içi)</w:t>
            </w:r>
          </w:p>
        </w:tc>
        <w:tc>
          <w:tcPr>
            <w:tcW w:w="50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Ayrı vektör DB’nin operasyon yükünden kaçınır; olumsuz-medya semantik eşleştirme aynı DB’de</w:t>
            </w:r>
          </w:p>
        </w:tc>
      </w:tr>
      <w:tr>
        <w:trPr/>
        <w:tc>
          <w:tcPr>
            <w:tcW w:w="1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Sahiplik grafiği</w:t>
            </w:r>
          </w:p>
        </w:tc>
        <w:tc>
          <w:tcPr>
            <w:tcW w:w="2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Postgres recursive CTE (MVP) → Apache AGE</w:t>
            </w:r>
          </w:p>
        </w:tc>
        <w:tc>
          <w:tcPr>
            <w:tcW w:w="50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Solo operasyonda tek DB; graf gerçekten merkezileşirse AGE ile aynı Postgres içinde graf sorgusu</w:t>
            </w:r>
          </w:p>
        </w:tc>
      </w:tr>
      <w:tr>
        <w:trPr/>
        <w:tc>
          <w:tcPr>
            <w:tcW w:w="1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Tarama motoru</w:t>
            </w:r>
          </w:p>
        </w:tc>
        <w:tc>
          <w:tcPr>
            <w:tcW w:w="21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Self-host OpenSanctions ‘yente’</w:t>
            </w:r>
          </w:p>
        </w:tc>
        <w:tc>
          <w:tcPr>
            <w:tcW w:w="50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Veri kendi ortamında kalır (KVKK); şeffaf, denetlenebilir kaynak; matching hazır</w:t>
            </w:r>
          </w:p>
        </w:tc>
      </w:tr>
      <w:tr>
        <w:trPr/>
        <w:tc>
          <w:tcPr>
            <w:tcW w:w="1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LLM orkestrasyon</w:t>
            </w:r>
          </w:p>
        </w:tc>
        <w:tc>
          <w:tcPr>
            <w:tcW w:w="2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LangGraph</w:t>
            </w:r>
          </w:p>
        </w:tc>
        <w:tc>
          <w:tcPr>
            <w:tcW w:w="50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Çok adımlı, durum makineli soruşturma ajanı; TenderIQ’da kanıtlı</w:t>
            </w:r>
          </w:p>
        </w:tc>
      </w:tr>
      <w:tr>
        <w:trPr/>
        <w:tc>
          <w:tcPr>
            <w:tcW w:w="1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LLM sağlayıcı</w:t>
            </w:r>
          </w:p>
        </w:tc>
        <w:tc>
          <w:tcPr>
            <w:tcW w:w="21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Claude API (model-agnostik soyutlama)</w:t>
            </w:r>
          </w:p>
        </w:tc>
        <w:tc>
          <w:tcPr>
            <w:tcW w:w="50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Kaliteli çıkarım; sağlayıcı değişimine kapalı bağımlılık bırakmayan arayüz</w:t>
            </w:r>
          </w:p>
        </w:tc>
      </w:tr>
      <w:tr>
        <w:trPr/>
        <w:tc>
          <w:tcPr>
            <w:tcW w:w="1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Belge çıkarımı</w:t>
            </w:r>
          </w:p>
        </w:tc>
        <w:tc>
          <w:tcPr>
            <w:tcW w:w="2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Docling</w:t>
            </w:r>
          </w:p>
        </w:tc>
        <w:tc>
          <w:tcPr>
            <w:tcW w:w="50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PDF/imza sirküleri/faaliyet belgesinden yapılandırılmış çıkarım; TenderIQ’dan taşınır</w:t>
            </w:r>
          </w:p>
        </w:tc>
      </w:tr>
      <w:tr>
        <w:trPr/>
        <w:tc>
          <w:tcPr>
            <w:tcW w:w="1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Frontend</w:t>
            </w:r>
          </w:p>
        </w:tc>
        <w:tc>
          <w:tcPr>
            <w:tcW w:w="21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Next.js + TypeScript + Tailwind</w:t>
            </w:r>
          </w:p>
        </w:tc>
        <w:tc>
          <w:tcPr>
            <w:tcW w:w="50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Mevcut stack; SSR ile hızlı dashboard; tip güvenliği</w:t>
            </w:r>
          </w:p>
        </w:tc>
      </w:tr>
      <w:tr>
        <w:trPr/>
        <w:tc>
          <w:tcPr>
            <w:tcW w:w="1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Çok kiracılılık</w:t>
            </w:r>
          </w:p>
        </w:tc>
        <w:tc>
          <w:tcPr>
            <w:tcW w:w="2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RLS + tenant_id (havuz model)</w:t>
            </w:r>
          </w:p>
        </w:tc>
        <w:tc>
          <w:tcPr>
            <w:tcW w:w="50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SMMM ofisi ölçeğinde operasyonel sadelik; FabrikaOS’ta kanıtlı desen</w:t>
            </w:r>
          </w:p>
        </w:tc>
      </w:tr>
      <w:tr>
        <w:trPr/>
        <w:tc>
          <w:tcPr>
            <w:tcW w:w="1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Dağıtım</w:t>
            </w:r>
          </w:p>
        </w:tc>
        <w:tc>
          <w:tcPr>
            <w:tcW w:w="2101"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Docker Compose → Kubernetes</w:t>
            </w:r>
          </w:p>
        </w:tc>
        <w:tc>
          <w:tcPr>
            <w:tcW w:w="50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Tek makinede başla; yük artınca yatay ölçekle; Türkiye’de veri yerelleştirme opsiyonu</w:t>
            </w:r>
          </w:p>
        </w:tc>
      </w:tr>
      <w:tr>
        <w:trPr/>
        <w:tc>
          <w:tcPr>
            <w:tcW w:w="1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CI/CD</w:t>
            </w:r>
          </w:p>
        </w:tc>
        <w:tc>
          <w:tcPr>
            <w:tcW w:w="2101"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GitHub Actions</w:t>
            </w:r>
          </w:p>
        </w:tc>
        <w:tc>
          <w:tcPr>
            <w:tcW w:w="50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Mevcut GitHub (Scryne) akışı; test + imaj + dağıtım</w:t>
            </w:r>
          </w:p>
        </w:tc>
      </w:tr>
    </w:tbl>
    <w:p>
      <w:pPr>
        <w:pStyle w:val="Normal"/>
        <w:spacing w:before="0" w:after="80"/>
        <w:rPr/>
      </w:pPr>
      <w:r>
        <w:rPr/>
      </w:r>
    </w:p>
    <w:tbl>
      <w:tblPr>
        <w:tblW w:w="9026" w:type="dxa"/>
        <w:jc w:val="left"/>
        <w:tblInd w:w="0" w:type="dxa"/>
        <w:tblLayout w:type="fixed"/>
        <w:tblCellMar>
          <w:top w:w="120" w:type="dxa"/>
          <w:left w:w="160" w:type="dxa"/>
          <w:bottom w:w="120" w:type="dxa"/>
          <w:right w:w="160" w:type="dxa"/>
        </w:tblCellMar>
      </w:tblPr>
      <w:tblGrid>
        <w:gridCol w:w="9026"/>
      </w:tblGrid>
      <w:tr>
        <w:trPr/>
        <w:tc>
          <w:tcPr>
            <w:tcW w:w="9026" w:type="dxa"/>
            <w:tcBorders>
              <w:top w:val="single" w:sz="2" w:space="0" w:color="0E7490"/>
              <w:left w:val="single" w:sz="18" w:space="0" w:color="0E7490"/>
              <w:bottom w:val="single" w:sz="2" w:space="0" w:color="0E7490"/>
              <w:right w:val="single" w:sz="2" w:space="0" w:color="0E7490"/>
            </w:tcBorders>
            <w:shd w:fill="ECFEFF" w:val="clear"/>
          </w:tcPr>
          <w:p>
            <w:pPr>
              <w:pStyle w:val="Normal"/>
              <w:spacing w:before="0" w:after="60"/>
              <w:rPr/>
            </w:pPr>
            <w:r>
              <w:rPr>
                <w:b/>
                <w:bCs/>
                <w:color w:val="0F766E"/>
                <w:sz w:val="21"/>
                <w:szCs w:val="21"/>
              </w:rPr>
              <w:t>En kritik mimari karar</w:t>
            </w:r>
          </w:p>
          <w:p>
            <w:pPr>
              <w:pStyle w:val="Normal"/>
              <w:jc w:val="both"/>
              <w:rPr/>
            </w:pPr>
            <w:r>
              <w:rPr>
                <w:color w:val="334155"/>
                <w:sz w:val="20"/>
                <w:szCs w:val="20"/>
              </w:rPr>
              <w:t>Tarama motoru olarak OpenSanctions’ın açık kaynak eşleştirme servisi ‘yente’nin self-host edilmesi. Bu tek karar üç sorunu birden çözer: (1) müşteri PII’si asla dış API’ye çıkmaz — KVKK dostu; (2) veri kaynağı şeffaf ve denetlenebilir, regülatöre “verim nereden geliyor” gösterilebilir; (3) sorgu başına dış maliyet öngörülebilir. Ticari kullanımda OpenSanctions veri lisansı gerekir — bu maliyet baştan bütçelenir.</w:t>
            </w:r>
          </w:p>
        </w:tc>
      </w:tr>
    </w:tbl>
    <w:p>
      <w:pPr>
        <w:pStyle w:val="Heading2"/>
        <w:spacing w:before="240" w:after="120"/>
        <w:rPr/>
      </w:pPr>
      <w:bookmarkStart w:id="26" w:name="__RefHeading___Toc918_3654386526"/>
      <w:bookmarkEnd w:id="26"/>
      <w:r>
        <w:rPr>
          <w:b/>
          <w:bCs/>
          <w:color w:val="0E7490"/>
          <w:sz w:val="25"/>
          <w:szCs w:val="25"/>
        </w:rPr>
        <w:t>6.3 Çok kiracılı (multi-tenant) tasarım</w:t>
      </w:r>
    </w:p>
    <w:p>
      <w:pPr>
        <w:pStyle w:val="Normal"/>
        <w:spacing w:lineRule="exact" w:line="276" w:before="0" w:after="120"/>
        <w:jc w:val="both"/>
        <w:rPr/>
      </w:pPr>
      <w:r>
        <w:rPr>
          <w:color w:val="1F2937"/>
          <w:sz w:val="21"/>
          <w:szCs w:val="21"/>
        </w:rPr>
        <w:t>Havuz modeli (pooled) + satır düzeyi güvenlik (RLS) tercih edilmiştir: tüm kiracılar aynı şemayı paylaşır, her tabloda tenant_id bulunur ve PostgreSQL RLS politikaları kiracı izolasyonunu veritabanı seviyesinde zorunlu kılar. Bu, SMMM ofisi ölçeğinde (yüzlerce küçük kiracı) şema-başına-kiracıdan çok daha az operasyon yükü getirir. Kurumsal müşteri (banka/fintech) geldiğinde, o kiracı için ayrı şema/veritabanı izolasyonu opsiyoneldir. Rol tabanlı erişim (RBAC): Sahip, Uyum Uzmanı, Analist, Salt-okunur Denetçi rolleri.</w:t>
      </w:r>
    </w:p>
    <w:p>
      <w:pPr>
        <w:pStyle w:val="Heading2"/>
        <w:spacing w:before="240" w:after="120"/>
        <w:rPr/>
      </w:pPr>
      <w:bookmarkStart w:id="27" w:name="__RefHeading___Toc920_3654386526"/>
      <w:bookmarkEnd w:id="27"/>
      <w:r>
        <w:rPr>
          <w:b/>
          <w:bCs/>
          <w:color w:val="0E7490"/>
          <w:sz w:val="25"/>
          <w:szCs w:val="25"/>
        </w:rPr>
        <w:t>6.4 Veri modeli ve varlık eşleştirme (entity resolution)</w:t>
      </w:r>
    </w:p>
    <w:p>
      <w:pPr>
        <w:pStyle w:val="Normal"/>
        <w:spacing w:lineRule="exact" w:line="276" w:before="0" w:after="120"/>
        <w:jc w:val="both"/>
        <w:rPr/>
      </w:pPr>
      <w:r>
        <w:rPr>
          <w:color w:val="1F2937"/>
          <w:sz w:val="21"/>
          <w:szCs w:val="21"/>
        </w:rPr>
        <w:t>Sistemin kalbi, farklı kaynaklardan gelen kayıtları tek bir kanonik varlığa bağlayan varlık grafiğidir. Çekirdek varlıklar: Entity (kişi/kurum), Relationship (sahiplik, kontrol, yönetim, aile), Screening (tarama sonucu), RiskAssessment, Case, AuditEvent. OpenSanctions’ın FollowtheMoney (FtM) veri modeli referans alınır; böylece dış veriyle uyum baştan sağlanır.</w:t>
      </w:r>
    </w:p>
    <w:p>
      <w:pPr>
        <w:pStyle w:val="Normal"/>
        <w:spacing w:lineRule="exact" w:line="276" w:before="0" w:after="120"/>
        <w:jc w:val="both"/>
        <w:rPr/>
      </w:pPr>
      <w:r>
        <w:rPr>
          <w:color w:val="1F2937"/>
          <w:sz w:val="21"/>
          <w:szCs w:val="21"/>
        </w:rPr>
        <w:t>Eşleştirme hattı üç aşamalıdır: (1) Normalizasyon — unvan sadeleştirme, Türkçe karakter/transliterasyon, tüzel ekleri (A.Ş., Ltd. Şti.) ayıklama; (2) Aday üretimi — deterministik anahtarlar (vergi no, MERSIS, LEI) + bulanık ad + embedding tabanlı benzerlik (pgvector); (3) Skorlama &amp; karar — ağırlıklı skor + belirsizlikte insan onayı (human-in-the-loop). Yanlış pozitif yönetimi bu katmanda kazanılır.</w:t>
      </w:r>
    </w:p>
    <w:p>
      <w:pPr>
        <w:pStyle w:val="Heading2"/>
        <w:spacing w:before="240" w:after="120"/>
        <w:rPr/>
      </w:pPr>
      <w:bookmarkStart w:id="28" w:name="__RefHeading___Toc922_3654386526"/>
      <w:bookmarkEnd w:id="28"/>
      <w:r>
        <w:rPr>
          <w:b/>
          <w:bCs/>
          <w:color w:val="0E7490"/>
          <w:sz w:val="25"/>
          <w:szCs w:val="25"/>
        </w:rPr>
        <w:t>6.5 UBO / sahiplik grafiği</w:t>
      </w:r>
    </w:p>
    <w:p>
      <w:pPr>
        <w:pStyle w:val="Normal"/>
        <w:spacing w:lineRule="exact" w:line="276" w:before="0" w:after="120"/>
        <w:jc w:val="both"/>
        <w:rPr/>
      </w:pPr>
      <w:r>
        <w:rPr>
          <w:color w:val="1F2937"/>
          <w:sz w:val="21"/>
          <w:szCs w:val="21"/>
        </w:rPr>
        <w:t>Ortaklık zinciri yönlü bir graf olarak tutulur. MVP’de çok katmanlı UBO çıkarımı Postgres recursive CTE ile yapılır: bir kurumdan başlayıp sahiplik kenarlarını izleyerek %25 eşiğini aşan nihai gerçek kişilere ulaşılır; döngü ve dairesel sahiplik tespit edilir. Graf sorguları ürünün merkezine oturursa (çok derin zincirler, karmaşık kesişimler) Apache AGE ile aynı PostgreSQL içinde Cypher benzeri sorgulara geçilir — ayrı bir Neo4j operasyonu gerekmez.</w:t>
      </w:r>
    </w:p>
    <w:p>
      <w:pPr>
        <w:pStyle w:val="Heading2"/>
        <w:spacing w:before="240" w:after="120"/>
        <w:rPr/>
      </w:pPr>
      <w:bookmarkStart w:id="29" w:name="__RefHeading___Toc924_3654386526"/>
      <w:bookmarkEnd w:id="29"/>
      <w:r>
        <w:rPr>
          <w:b/>
          <w:bCs/>
          <w:color w:val="0E7490"/>
          <w:sz w:val="25"/>
          <w:szCs w:val="25"/>
        </w:rPr>
        <w:t>6.6 Yapay zekâ / LLM hattı</w:t>
      </w:r>
    </w:p>
    <w:p>
      <w:pPr>
        <w:pStyle w:val="Normal"/>
        <w:spacing w:lineRule="exact" w:line="276" w:before="0" w:after="120"/>
        <w:jc w:val="both"/>
        <w:rPr/>
      </w:pPr>
      <w:r>
        <w:rPr>
          <w:color w:val="1F2937"/>
          <w:sz w:val="21"/>
          <w:szCs w:val="21"/>
        </w:rPr>
        <w:t>İki ana yapay zekâ akışı vardır, ikisi de LangGraph ile durum makinesi olarak modellenir:</w:t>
      </w:r>
    </w:p>
    <w:p>
      <w:pPr>
        <w:pStyle w:val="ListParagraph"/>
        <w:numPr>
          <w:ilvl w:val="0"/>
          <w:numId w:val="2"/>
        </w:numPr>
        <w:spacing w:lineRule="exact" w:line="270" w:before="0" w:after="70"/>
        <w:jc w:val="both"/>
        <w:rPr/>
      </w:pPr>
      <w:r>
        <w:rPr>
          <w:b/>
          <w:bCs/>
          <w:color w:val="1E293B"/>
          <w:sz w:val="21"/>
          <w:szCs w:val="21"/>
        </w:rPr>
        <w:t xml:space="preserve">Olumsuz medya ayrıştırma: </w:t>
      </w:r>
      <w:r>
        <w:rPr>
          <w:color w:val="1F2937"/>
          <w:sz w:val="21"/>
          <w:szCs w:val="21"/>
        </w:rPr>
        <w:t>Aday haberler toplanır → embedding ile ilgililik → LLM ile “bu haber gerçekten bu kişi/kurum mu” disambiguation → olumsuzluk sınıflandırması ve kanıt cümlesi çıkarımı. Amaç yanlış pozitifi düşürmek; her karar kaynak URL ve alıntıyla belgelenir.</w:t>
      </w:r>
    </w:p>
    <w:p>
      <w:pPr>
        <w:pStyle w:val="ListParagraph"/>
        <w:numPr>
          <w:ilvl w:val="0"/>
          <w:numId w:val="2"/>
        </w:numPr>
        <w:spacing w:lineRule="exact" w:line="270" w:before="0" w:after="70"/>
        <w:jc w:val="both"/>
        <w:rPr/>
      </w:pPr>
      <w:r>
        <w:rPr>
          <w:b/>
          <w:bCs/>
          <w:color w:val="1E293B"/>
          <w:sz w:val="21"/>
          <w:szCs w:val="21"/>
        </w:rPr>
        <w:t xml:space="preserve">Soruşturma ajanı: </w:t>
      </w:r>
      <w:r>
        <w:rPr>
          <w:color w:val="1F2937"/>
          <w:sz w:val="21"/>
          <w:szCs w:val="21"/>
        </w:rPr>
        <w:t>Kullanıcının doğal dil talebini (örn. “riski özetle”) araç çağrılarına (tarama, UBO, medya sorgusu) çeviren, sonuçları sentezleyip kanıt izli özet üreten çok adımlı ajan.</w:t>
      </w:r>
    </w:p>
    <w:tbl>
      <w:tblPr>
        <w:tblW w:w="9026" w:type="dxa"/>
        <w:jc w:val="left"/>
        <w:tblInd w:w="0" w:type="dxa"/>
        <w:tblLayout w:type="fixed"/>
        <w:tblCellMar>
          <w:top w:w="120" w:type="dxa"/>
          <w:left w:w="160" w:type="dxa"/>
          <w:bottom w:w="120" w:type="dxa"/>
          <w:right w:w="160" w:type="dxa"/>
        </w:tblCellMar>
      </w:tblPr>
      <w:tblGrid>
        <w:gridCol w:w="9026"/>
      </w:tblGrid>
      <w:tr>
        <w:trPr/>
        <w:tc>
          <w:tcPr>
            <w:tcW w:w="9026" w:type="dxa"/>
            <w:tcBorders>
              <w:top w:val="single" w:sz="2" w:space="0" w:color="0E7490"/>
              <w:left w:val="single" w:sz="18" w:space="0" w:color="0E7490"/>
              <w:bottom w:val="single" w:sz="2" w:space="0" w:color="0E7490"/>
              <w:right w:val="single" w:sz="2" w:space="0" w:color="0E7490"/>
            </w:tcBorders>
            <w:shd w:fill="ECFEFF" w:val="clear"/>
          </w:tcPr>
          <w:p>
            <w:pPr>
              <w:pStyle w:val="Normal"/>
              <w:spacing w:before="0" w:after="60"/>
              <w:rPr/>
            </w:pPr>
            <w:r>
              <w:rPr>
                <w:b/>
                <w:bCs/>
                <w:color w:val="0F766E"/>
                <w:sz w:val="21"/>
                <w:szCs w:val="21"/>
              </w:rPr>
              <w:t>Güven ve doğruluk ilkesi</w:t>
            </w:r>
          </w:p>
          <w:p>
            <w:pPr>
              <w:pStyle w:val="Normal"/>
              <w:jc w:val="both"/>
              <w:rPr/>
            </w:pPr>
            <w:r>
              <w:rPr>
                <w:color w:val="334155"/>
                <w:sz w:val="20"/>
                <w:szCs w:val="20"/>
              </w:rPr>
              <w:t>LLM çıktısı asla ham gerçek kabul edilmez. Tüm risk-etkili bulgular yapılandırılmış kaynağa (yaptırım kaydı, kayıt sorgusu, haber URL’si) bağlanır; LLM yalnızca özetler, sınıflandırır ve ayrıştırır. Bu, hem regülatör güvenini hem de yanlış bilgi (hallucination) riskinin kontrolünü sağlar.</w:t>
            </w:r>
          </w:p>
        </w:tc>
      </w:tr>
    </w:tbl>
    <w:p>
      <w:pPr>
        <w:pStyle w:val="Heading2"/>
        <w:spacing w:before="240" w:after="120"/>
        <w:rPr/>
      </w:pPr>
      <w:bookmarkStart w:id="30" w:name="__RefHeading___Toc926_3654386526"/>
      <w:bookmarkEnd w:id="30"/>
      <w:r>
        <w:rPr>
          <w:b/>
          <w:bCs/>
          <w:color w:val="0E7490"/>
          <w:sz w:val="25"/>
          <w:szCs w:val="25"/>
        </w:rPr>
        <w:t>6.7 Belge işleme</w:t>
      </w:r>
    </w:p>
    <w:p>
      <w:pPr>
        <w:pStyle w:val="Normal"/>
        <w:spacing w:lineRule="exact" w:line="276" w:before="0" w:after="120"/>
        <w:jc w:val="both"/>
        <w:rPr/>
      </w:pPr>
      <w:r>
        <w:rPr>
          <w:color w:val="1F2937"/>
          <w:sz w:val="21"/>
          <w:szCs w:val="21"/>
        </w:rPr>
        <w:t>Kullanıcı imza sirküleri, faaliyet belgesi, ortaklık yapısı gibi belgeleri yükler; Docling ile yapılandırılmış çıkarım yapılır ve yetkili/UBO bilgisi otomatik önerilir (kullanıcı onayıyla varlık grafiğine işlenir). Bu yetenek TenderIQ’dan büyük ölçüde yeniden kullanılır.</w:t>
      </w:r>
    </w:p>
    <w:p>
      <w:pPr>
        <w:pStyle w:val="Heading2"/>
        <w:spacing w:before="240" w:after="120"/>
        <w:rPr/>
      </w:pPr>
      <w:bookmarkStart w:id="31" w:name="__RefHeading___Toc928_3654386526"/>
      <w:bookmarkEnd w:id="31"/>
      <w:r>
        <w:rPr>
          <w:b/>
          <w:bCs/>
          <w:color w:val="0E7490"/>
          <w:sz w:val="25"/>
          <w:szCs w:val="25"/>
        </w:rPr>
        <w:t>6.8 Sürekli izleme ve iş mimarisi</w:t>
      </w:r>
    </w:p>
    <w:p>
      <w:pPr>
        <w:pStyle w:val="Normal"/>
        <w:spacing w:lineRule="exact" w:line="276" w:before="0" w:after="120"/>
        <w:jc w:val="both"/>
        <w:rPr/>
      </w:pPr>
      <w:r>
        <w:rPr>
          <w:color w:val="1F2937"/>
          <w:sz w:val="21"/>
          <w:szCs w:val="21"/>
        </w:rPr>
        <w:t>Sürekli izleme, Celery periyodik görevleriyle çalışır. İzlenen her varlık için planlı yeniden tarama; veri kaynağı güncellemelerinde (yeni yaptırım kaydı, sahiplik değişimi) fark tespiti (diff) ve eşik aşımında uyarı üretimi. Uyarılar case management’a düşer ve gerekirse EDD iş akışını tetikler. OpenSanctions veri seti periyodik olarak self-host örneğe senkronlanır.</w:t>
      </w:r>
    </w:p>
    <w:p>
      <w:pPr>
        <w:pStyle w:val="Heading2"/>
        <w:spacing w:before="240" w:after="120"/>
        <w:rPr/>
      </w:pPr>
      <w:bookmarkStart w:id="32" w:name="__RefHeading___Toc930_3654386526"/>
      <w:bookmarkEnd w:id="32"/>
      <w:r>
        <w:rPr>
          <w:b/>
          <w:bCs/>
          <w:color w:val="0E7490"/>
          <w:sz w:val="25"/>
          <w:szCs w:val="25"/>
        </w:rPr>
        <w:t>6.9 API tasarımı</w:t>
      </w:r>
    </w:p>
    <w:p>
      <w:pPr>
        <w:pStyle w:val="Normal"/>
        <w:spacing w:lineRule="exact" w:line="276" w:before="0" w:after="120"/>
        <w:jc w:val="both"/>
        <w:rPr/>
      </w:pPr>
      <w:r>
        <w:rPr>
          <w:color w:val="1F2937"/>
          <w:sz w:val="21"/>
          <w:szCs w:val="21"/>
        </w:rPr>
        <w:t>API-first yaklaşım: çekirdek yetenekler önce REST API olarak sunulur, web arayüzü bu API’yi tüketir. Ana uçlar: /entities (arama/çözümleme), /screen (tarama), /ubo (sahiplik), /monitor (izleme aboneliği), /cases, /reports. Kimlik doğrulama JWT; kurumsal entegrasyon için API anahtarı ve webhook (uyarı bildirimi) desteği. OpenAPI şeması otomatik üretilir.</w:t>
      </w:r>
    </w:p>
    <w:p>
      <w:pPr>
        <w:pStyle w:val="Heading2"/>
        <w:spacing w:before="240" w:after="120"/>
        <w:rPr/>
      </w:pPr>
      <w:bookmarkStart w:id="33" w:name="__RefHeading___Toc932_3654386526"/>
      <w:bookmarkEnd w:id="33"/>
      <w:r>
        <w:rPr>
          <w:b/>
          <w:bCs/>
          <w:color w:val="0E7490"/>
          <w:sz w:val="25"/>
          <w:szCs w:val="25"/>
        </w:rPr>
        <w:t>6.10 Frontend mimarisi</w:t>
      </w:r>
    </w:p>
    <w:p>
      <w:pPr>
        <w:pStyle w:val="Normal"/>
        <w:spacing w:lineRule="exact" w:line="276" w:before="0" w:after="120"/>
        <w:jc w:val="both"/>
        <w:rPr/>
      </w:pPr>
      <w:r>
        <w:rPr>
          <w:color w:val="1F2937"/>
          <w:sz w:val="21"/>
          <w:szCs w:val="21"/>
        </w:rPr>
        <w:t>Next.js App Router ile sunucu bileşenleri hızlı dashboard sağlar; UBO grafiği için etkileşimli graf görselleştirme; dosya görünümünde her bulgunun kaynağına tıklanabilir izleme. Rol bazlı görünümler (uzman vs. salt-okunur denetçi) ve white-label için tema soyutlaması baştan kurgulanır.</w:t>
      </w:r>
    </w:p>
    <w:p>
      <w:pPr>
        <w:pStyle w:val="Normal"/>
        <w:rPr/>
      </w:pPr>
      <w:r>
        <w:rPr/>
      </w:r>
      <w:r>
        <w:br w:type="page"/>
      </w:r>
    </w:p>
    <w:p>
      <w:pPr>
        <w:pStyle w:val="Heading1"/>
        <w:spacing w:before="0" w:after="160"/>
        <w:rPr/>
      </w:pPr>
      <w:bookmarkStart w:id="34" w:name="__RefHeading___Toc934_3654386526"/>
      <w:bookmarkEnd w:id="34"/>
      <w:r>
        <w:rPr>
          <w:b/>
          <w:bCs/>
          <w:color w:val="1E293B"/>
          <w:sz w:val="30"/>
          <w:szCs w:val="30"/>
        </w:rPr>
        <w:t>7. Veri Kaynakları ve Entegrasyonlar</w:t>
      </w:r>
    </w:p>
    <w:p>
      <w:pPr>
        <w:pStyle w:val="Normal"/>
        <w:spacing w:lineRule="exact" w:line="276" w:before="0" w:after="120"/>
        <w:jc w:val="both"/>
        <w:rPr/>
      </w:pPr>
      <w:r>
        <w:rPr>
          <w:color w:val="1F2937"/>
          <w:sz w:val="21"/>
          <w:szCs w:val="21"/>
        </w:rPr>
        <w:t>Ürünün fizibilitesi büyük ölçüde veri erişimine bağlıdır. İyi haber: yaptırım/PEP tarafının belkemiği hazır ve self-host edilebilir.</w:t>
      </w:r>
    </w:p>
    <w:tbl>
      <w:tblPr>
        <w:tblW w:w="9026" w:type="dxa"/>
        <w:jc w:val="left"/>
        <w:tblInd w:w="0" w:type="dxa"/>
        <w:tblLayout w:type="fixed"/>
        <w:tblCellMar>
          <w:top w:w="80" w:type="dxa"/>
          <w:left w:w="100" w:type="dxa"/>
          <w:bottom w:w="80" w:type="dxa"/>
          <w:right w:w="100" w:type="dxa"/>
        </w:tblCellMar>
      </w:tblPr>
      <w:tblGrid>
        <w:gridCol w:w="2000"/>
        <w:gridCol w:w="3900"/>
        <w:gridCol w:w="3126"/>
      </w:tblGrid>
      <w:tr>
        <w:trPr>
          <w:tblHeader w:val="true"/>
        </w:trPr>
        <w:tc>
          <w:tcPr>
            <w:tcW w:w="2000" w:type="dxa"/>
            <w:tcBorders>
              <w:top w:val="single" w:sz="2" w:space="0" w:color="0E7490"/>
              <w:left w:val="single" w:sz="18" w:space="0" w:color="0E7490"/>
            </w:tcBorders>
            <w:shd w:fill="1E3A5F" w:val="clear"/>
          </w:tcPr>
          <w:p>
            <w:pPr>
              <w:pStyle w:val="Normal"/>
              <w:rPr/>
            </w:pPr>
            <w:r>
              <w:rPr>
                <w:b/>
                <w:bCs/>
                <w:color w:val="FFFFFF"/>
                <w:sz w:val="19"/>
                <w:szCs w:val="19"/>
              </w:rPr>
              <w:t>Kaynak</w:t>
            </w:r>
          </w:p>
        </w:tc>
        <w:tc>
          <w:tcPr>
            <w:tcW w:w="3900" w:type="dxa"/>
            <w:tcBorders>
              <w:top w:val="single" w:sz="2" w:space="0" w:color="0E7490"/>
            </w:tcBorders>
            <w:shd w:fill="1E3A5F" w:val="clear"/>
          </w:tcPr>
          <w:p>
            <w:pPr>
              <w:pStyle w:val="Normal"/>
              <w:rPr/>
            </w:pPr>
            <w:r>
              <w:rPr>
                <w:b/>
                <w:bCs/>
                <w:color w:val="FFFFFF"/>
                <w:sz w:val="19"/>
                <w:szCs w:val="19"/>
              </w:rPr>
              <w:t>Ne sağlar</w:t>
            </w:r>
          </w:p>
        </w:tc>
        <w:tc>
          <w:tcPr>
            <w:tcW w:w="3126" w:type="dxa"/>
            <w:tcBorders>
              <w:top w:val="single" w:sz="2" w:space="0" w:color="0E7490"/>
              <w:right w:val="single" w:sz="2" w:space="0" w:color="0E7490"/>
            </w:tcBorders>
            <w:shd w:fill="1E3A5F" w:val="clear"/>
          </w:tcPr>
          <w:p>
            <w:pPr>
              <w:pStyle w:val="Normal"/>
              <w:rPr/>
            </w:pPr>
            <w:r>
              <w:rPr>
                <w:b/>
                <w:bCs/>
                <w:color w:val="FFFFFF"/>
                <w:sz w:val="19"/>
                <w:szCs w:val="19"/>
              </w:rPr>
              <w:t>Erişim / not</w:t>
            </w:r>
          </w:p>
        </w:tc>
      </w:tr>
      <w:tr>
        <w:trPr/>
        <w:tc>
          <w:tcPr>
            <w:tcW w:w="2000" w:type="dxa"/>
            <w:tcBorders>
              <w:left w:val="single" w:sz="18" w:space="0" w:color="0E7490"/>
            </w:tcBorders>
            <w:shd w:fill="F1F5F9" w:val="clear"/>
            <w:tcMar>
              <w:top w:w="70" w:type="dxa"/>
              <w:bottom w:w="70" w:type="dxa"/>
            </w:tcMar>
          </w:tcPr>
          <w:p>
            <w:pPr>
              <w:pStyle w:val="Normal"/>
              <w:spacing w:before="0" w:after="20"/>
              <w:rPr/>
            </w:pPr>
            <w:r>
              <w:rPr>
                <w:color w:val="1F2937"/>
                <w:sz w:val="18"/>
                <w:szCs w:val="18"/>
              </w:rPr>
              <w:t>OpenSanctions</w:t>
            </w:r>
          </w:p>
        </w:tc>
        <w:tc>
          <w:tcPr>
            <w:tcW w:w="3900" w:type="dxa"/>
            <w:tcBorders/>
            <w:shd w:fill="F1F5F9" w:val="clear"/>
            <w:tcMar>
              <w:top w:w="70" w:type="dxa"/>
              <w:bottom w:w="70" w:type="dxa"/>
            </w:tcMar>
          </w:tcPr>
          <w:p>
            <w:pPr>
              <w:pStyle w:val="Normal"/>
              <w:spacing w:before="0" w:after="20"/>
              <w:rPr/>
            </w:pPr>
            <w:r>
              <w:rPr>
                <w:color w:val="1F2937"/>
                <w:sz w:val="18"/>
                <w:szCs w:val="18"/>
              </w:rPr>
              <w:t>OFAC/EU/UN/UK yaptırım, PEP, watchlist; 400+ kaynak; LEI/kimlik zenginleştirme; ilişki grafiği</w:t>
            </w:r>
          </w:p>
        </w:tc>
        <w:tc>
          <w:tcPr>
            <w:tcW w:w="3126" w:type="dxa"/>
            <w:tcBorders>
              <w:right w:val="single" w:sz="2" w:space="0" w:color="0E7490"/>
            </w:tcBorders>
            <w:shd w:fill="F1F5F9" w:val="clear"/>
            <w:tcMar>
              <w:top w:w="70" w:type="dxa"/>
              <w:bottom w:w="70" w:type="dxa"/>
            </w:tcMar>
          </w:tcPr>
          <w:p>
            <w:pPr>
              <w:pStyle w:val="Normal"/>
              <w:spacing w:before="0" w:after="20"/>
              <w:rPr/>
            </w:pPr>
            <w:r>
              <w:rPr>
                <w:color w:val="1F2937"/>
                <w:sz w:val="18"/>
                <w:szCs w:val="18"/>
              </w:rPr>
              <w:t>Self-host indirilebilir; ‘yente’ matching. Ticari kullanımda lisans/API ücreti</w:t>
            </w:r>
          </w:p>
        </w:tc>
      </w:tr>
      <w:tr>
        <w:trPr/>
        <w:tc>
          <w:tcPr>
            <w:tcW w:w="2000" w:type="dxa"/>
            <w:tcBorders>
              <w:left w:val="single" w:sz="18" w:space="0" w:color="0E7490"/>
            </w:tcBorders>
            <w:shd w:fill="FFFFFF" w:val="clear"/>
            <w:tcMar>
              <w:top w:w="70" w:type="dxa"/>
              <w:bottom w:w="70" w:type="dxa"/>
            </w:tcMar>
          </w:tcPr>
          <w:p>
            <w:pPr>
              <w:pStyle w:val="Normal"/>
              <w:spacing w:before="0" w:after="20"/>
              <w:rPr/>
            </w:pPr>
            <w:r>
              <w:rPr>
                <w:color w:val="1F2937"/>
                <w:sz w:val="18"/>
                <w:szCs w:val="18"/>
              </w:rPr>
              <w:t>GLEIF (LEI)</w:t>
            </w:r>
          </w:p>
        </w:tc>
        <w:tc>
          <w:tcPr>
            <w:tcW w:w="3900" w:type="dxa"/>
            <w:tcBorders/>
            <w:shd w:fill="FFFFFF" w:val="clear"/>
            <w:tcMar>
              <w:top w:w="70" w:type="dxa"/>
              <w:bottom w:w="70" w:type="dxa"/>
            </w:tcMar>
          </w:tcPr>
          <w:p>
            <w:pPr>
              <w:pStyle w:val="Normal"/>
              <w:spacing w:before="0" w:after="20"/>
              <w:rPr/>
            </w:pPr>
            <w:r>
              <w:rPr>
                <w:color w:val="1F2937"/>
                <w:sz w:val="18"/>
                <w:szCs w:val="18"/>
              </w:rPr>
              <w:t>Küresel tüzel kişi kimlik numarası ve doğrulama</w:t>
            </w:r>
          </w:p>
        </w:tc>
        <w:tc>
          <w:tcPr>
            <w:tcW w:w="3126" w:type="dxa"/>
            <w:tcBorders>
              <w:right w:val="single" w:sz="2" w:space="0" w:color="0E7490"/>
            </w:tcBorders>
            <w:shd w:fill="FFFFFF" w:val="clear"/>
            <w:tcMar>
              <w:top w:w="70" w:type="dxa"/>
              <w:bottom w:w="70" w:type="dxa"/>
            </w:tcMar>
          </w:tcPr>
          <w:p>
            <w:pPr>
              <w:pStyle w:val="Normal"/>
              <w:spacing w:before="0" w:after="20"/>
              <w:rPr/>
            </w:pPr>
            <w:r>
              <w:rPr>
                <w:color w:val="1F2937"/>
                <w:sz w:val="18"/>
                <w:szCs w:val="18"/>
              </w:rPr>
              <w:t>Açık veri</w:t>
            </w:r>
          </w:p>
        </w:tc>
      </w:tr>
      <w:tr>
        <w:trPr/>
        <w:tc>
          <w:tcPr>
            <w:tcW w:w="2000" w:type="dxa"/>
            <w:tcBorders>
              <w:left w:val="single" w:sz="18" w:space="0" w:color="0E7490"/>
            </w:tcBorders>
            <w:shd w:fill="F1F5F9" w:val="clear"/>
            <w:tcMar>
              <w:top w:w="70" w:type="dxa"/>
              <w:bottom w:w="70" w:type="dxa"/>
            </w:tcMar>
          </w:tcPr>
          <w:p>
            <w:pPr>
              <w:pStyle w:val="Normal"/>
              <w:spacing w:before="0" w:after="20"/>
              <w:rPr/>
            </w:pPr>
            <w:r>
              <w:rPr>
                <w:color w:val="1F2937"/>
                <w:sz w:val="18"/>
                <w:szCs w:val="18"/>
              </w:rPr>
              <w:t>MERSIS</w:t>
            </w:r>
          </w:p>
        </w:tc>
        <w:tc>
          <w:tcPr>
            <w:tcW w:w="3900" w:type="dxa"/>
            <w:tcBorders/>
            <w:shd w:fill="F1F5F9" w:val="clear"/>
            <w:tcMar>
              <w:top w:w="70" w:type="dxa"/>
              <w:bottom w:w="70" w:type="dxa"/>
            </w:tcMar>
          </w:tcPr>
          <w:p>
            <w:pPr>
              <w:pStyle w:val="Normal"/>
              <w:spacing w:before="0" w:after="20"/>
              <w:rPr/>
            </w:pPr>
            <w:r>
              <w:rPr>
                <w:color w:val="1F2937"/>
                <w:sz w:val="18"/>
                <w:szCs w:val="18"/>
              </w:rPr>
              <w:t>Türkiye merkezi sicil kaydı, tüzel kişi kimliği</w:t>
            </w:r>
          </w:p>
        </w:tc>
        <w:tc>
          <w:tcPr>
            <w:tcW w:w="3126" w:type="dxa"/>
            <w:tcBorders>
              <w:right w:val="single" w:sz="2" w:space="0" w:color="0E7490"/>
            </w:tcBorders>
            <w:shd w:fill="F1F5F9" w:val="clear"/>
            <w:tcMar>
              <w:top w:w="70" w:type="dxa"/>
              <w:bottom w:w="70" w:type="dxa"/>
            </w:tcMar>
          </w:tcPr>
          <w:p>
            <w:pPr>
              <w:pStyle w:val="Normal"/>
              <w:spacing w:before="0" w:after="20"/>
              <w:rPr/>
            </w:pPr>
            <w:r>
              <w:rPr>
                <w:color w:val="1F2937"/>
                <w:sz w:val="18"/>
                <w:szCs w:val="18"/>
              </w:rPr>
              <w:t>Resmi kaynak; erişim yöntemi doğrulanmalı</w:t>
            </w:r>
          </w:p>
        </w:tc>
      </w:tr>
      <w:tr>
        <w:trPr/>
        <w:tc>
          <w:tcPr>
            <w:tcW w:w="2000" w:type="dxa"/>
            <w:tcBorders>
              <w:left w:val="single" w:sz="18" w:space="0" w:color="0E7490"/>
            </w:tcBorders>
            <w:shd w:fill="FFFFFF" w:val="clear"/>
            <w:tcMar>
              <w:top w:w="70" w:type="dxa"/>
              <w:bottom w:w="70" w:type="dxa"/>
            </w:tcMar>
          </w:tcPr>
          <w:p>
            <w:pPr>
              <w:pStyle w:val="Normal"/>
              <w:spacing w:before="0" w:after="20"/>
              <w:rPr/>
            </w:pPr>
            <w:r>
              <w:rPr>
                <w:color w:val="1F2937"/>
                <w:sz w:val="18"/>
                <w:szCs w:val="18"/>
              </w:rPr>
              <w:t>Ticaret Sicil Gazetesi</w:t>
            </w:r>
          </w:p>
        </w:tc>
        <w:tc>
          <w:tcPr>
            <w:tcW w:w="3900" w:type="dxa"/>
            <w:tcBorders/>
            <w:shd w:fill="FFFFFF" w:val="clear"/>
            <w:tcMar>
              <w:top w:w="70" w:type="dxa"/>
              <w:bottom w:w="70" w:type="dxa"/>
            </w:tcMar>
          </w:tcPr>
          <w:p>
            <w:pPr>
              <w:pStyle w:val="Normal"/>
              <w:spacing w:before="0" w:after="20"/>
              <w:rPr/>
            </w:pPr>
            <w:r>
              <w:rPr>
                <w:color w:val="1F2937"/>
                <w:sz w:val="18"/>
                <w:szCs w:val="18"/>
              </w:rPr>
              <w:t>Tescil, unvan, yetkili, değişiklik ilanları</w:t>
            </w:r>
          </w:p>
        </w:tc>
        <w:tc>
          <w:tcPr>
            <w:tcW w:w="3126" w:type="dxa"/>
            <w:tcBorders>
              <w:right w:val="single" w:sz="2" w:space="0" w:color="0E7490"/>
            </w:tcBorders>
            <w:shd w:fill="FFFFFF" w:val="clear"/>
            <w:tcMar>
              <w:top w:w="70" w:type="dxa"/>
              <w:bottom w:w="70" w:type="dxa"/>
            </w:tcMar>
          </w:tcPr>
          <w:p>
            <w:pPr>
              <w:pStyle w:val="Normal"/>
              <w:spacing w:before="0" w:after="20"/>
              <w:rPr/>
            </w:pPr>
            <w:r>
              <w:rPr>
                <w:color w:val="1F2937"/>
                <w:sz w:val="18"/>
                <w:szCs w:val="18"/>
              </w:rPr>
              <w:t>Kamuya açık; sorgu/çıkarım gerektirir</w:t>
            </w:r>
          </w:p>
        </w:tc>
      </w:tr>
      <w:tr>
        <w:trPr/>
        <w:tc>
          <w:tcPr>
            <w:tcW w:w="2000" w:type="dxa"/>
            <w:tcBorders>
              <w:left w:val="single" w:sz="18" w:space="0" w:color="0E7490"/>
            </w:tcBorders>
            <w:shd w:fill="F1F5F9" w:val="clear"/>
            <w:tcMar>
              <w:top w:w="70" w:type="dxa"/>
              <w:bottom w:w="70" w:type="dxa"/>
            </w:tcMar>
          </w:tcPr>
          <w:p>
            <w:pPr>
              <w:pStyle w:val="Normal"/>
              <w:spacing w:before="0" w:after="20"/>
              <w:rPr/>
            </w:pPr>
            <w:r>
              <w:rPr>
                <w:color w:val="1F2937"/>
                <w:sz w:val="18"/>
                <w:szCs w:val="18"/>
              </w:rPr>
              <w:t>MASAK dondurma listeleri</w:t>
            </w:r>
          </w:p>
        </w:tc>
        <w:tc>
          <w:tcPr>
            <w:tcW w:w="3900" w:type="dxa"/>
            <w:tcBorders/>
            <w:shd w:fill="F1F5F9" w:val="clear"/>
            <w:tcMar>
              <w:top w:w="70" w:type="dxa"/>
              <w:bottom w:w="70" w:type="dxa"/>
            </w:tcMar>
          </w:tcPr>
          <w:p>
            <w:pPr>
              <w:pStyle w:val="Normal"/>
              <w:spacing w:before="0" w:after="20"/>
              <w:rPr/>
            </w:pPr>
            <w:r>
              <w:rPr>
                <w:color w:val="1F2937"/>
                <w:sz w:val="18"/>
                <w:szCs w:val="18"/>
              </w:rPr>
              <w:t>Yerel malvarlığı dondurma / TMFK kararları</w:t>
            </w:r>
          </w:p>
        </w:tc>
        <w:tc>
          <w:tcPr>
            <w:tcW w:w="3126" w:type="dxa"/>
            <w:tcBorders>
              <w:right w:val="single" w:sz="2" w:space="0" w:color="0E7490"/>
            </w:tcBorders>
            <w:shd w:fill="F1F5F9" w:val="clear"/>
            <w:tcMar>
              <w:top w:w="70" w:type="dxa"/>
              <w:bottom w:w="70" w:type="dxa"/>
            </w:tcMar>
          </w:tcPr>
          <w:p>
            <w:pPr>
              <w:pStyle w:val="Normal"/>
              <w:spacing w:before="0" w:after="20"/>
              <w:rPr/>
            </w:pPr>
            <w:r>
              <w:rPr>
                <w:color w:val="1F2937"/>
                <w:sz w:val="18"/>
                <w:szCs w:val="18"/>
              </w:rPr>
              <w:t>Kamuya açık</w:t>
            </w:r>
          </w:p>
        </w:tc>
      </w:tr>
      <w:tr>
        <w:trPr/>
        <w:tc>
          <w:tcPr>
            <w:tcW w:w="2000" w:type="dxa"/>
            <w:tcBorders>
              <w:left w:val="single" w:sz="18" w:space="0" w:color="0E7490"/>
            </w:tcBorders>
            <w:shd w:fill="FFFFFF" w:val="clear"/>
            <w:tcMar>
              <w:top w:w="70" w:type="dxa"/>
              <w:bottom w:w="70" w:type="dxa"/>
            </w:tcMar>
          </w:tcPr>
          <w:p>
            <w:pPr>
              <w:pStyle w:val="Normal"/>
              <w:spacing w:before="0" w:after="20"/>
              <w:rPr/>
            </w:pPr>
            <w:r>
              <w:rPr>
                <w:color w:val="1F2937"/>
                <w:sz w:val="18"/>
                <w:szCs w:val="18"/>
              </w:rPr>
              <w:t>Haber / medya API</w:t>
            </w:r>
          </w:p>
        </w:tc>
        <w:tc>
          <w:tcPr>
            <w:tcW w:w="3900" w:type="dxa"/>
            <w:tcBorders/>
            <w:shd w:fill="FFFFFF" w:val="clear"/>
            <w:tcMar>
              <w:top w:w="70" w:type="dxa"/>
              <w:bottom w:w="70" w:type="dxa"/>
            </w:tcMar>
          </w:tcPr>
          <w:p>
            <w:pPr>
              <w:pStyle w:val="Normal"/>
              <w:spacing w:before="0" w:after="20"/>
              <w:rPr/>
            </w:pPr>
            <w:r>
              <w:rPr>
                <w:color w:val="1F2937"/>
                <w:sz w:val="18"/>
                <w:szCs w:val="18"/>
              </w:rPr>
              <w:t>Olumsuz medya adayları</w:t>
            </w:r>
          </w:p>
        </w:tc>
        <w:tc>
          <w:tcPr>
            <w:tcW w:w="3126" w:type="dxa"/>
            <w:tcBorders>
              <w:right w:val="single" w:sz="2" w:space="0" w:color="0E7490"/>
            </w:tcBorders>
            <w:shd w:fill="FFFFFF" w:val="clear"/>
            <w:tcMar>
              <w:top w:w="70" w:type="dxa"/>
              <w:bottom w:w="70" w:type="dxa"/>
            </w:tcMar>
          </w:tcPr>
          <w:p>
            <w:pPr>
              <w:pStyle w:val="Normal"/>
              <w:spacing w:before="0" w:after="20"/>
              <w:rPr/>
            </w:pPr>
            <w:r>
              <w:rPr>
                <w:color w:val="1F2937"/>
                <w:sz w:val="18"/>
                <w:szCs w:val="18"/>
              </w:rPr>
              <w:t>Ticari haber API + hedefli tarama</w:t>
            </w:r>
          </w:p>
        </w:tc>
      </w:tr>
      <w:tr>
        <w:trPr/>
        <w:tc>
          <w:tcPr>
            <w:tcW w:w="9026" w:type="dxa"/>
            <w:gridSpan w:val="3"/>
            <w:tcBorders>
              <w:left w:val="single" w:sz="18" w:space="0" w:color="0E7490"/>
              <w:bottom w:val="single" w:sz="2" w:space="0" w:color="0E7490"/>
              <w:right w:val="single" w:sz="2" w:space="0" w:color="0E7490"/>
            </w:tcBorders>
            <w:shd w:fill="ECFEFF" w:val="clear"/>
            <w:tcMar>
              <w:top w:w="120" w:type="dxa"/>
              <w:left w:w="160" w:type="dxa"/>
              <w:bottom w:w="120" w:type="dxa"/>
              <w:right w:w="160" w:type="dxa"/>
            </w:tcMar>
          </w:tcPr>
          <w:p>
            <w:pPr>
              <w:pStyle w:val="Normal"/>
              <w:spacing w:before="0" w:after="60"/>
              <w:rPr/>
            </w:pPr>
            <w:r>
              <w:rPr>
                <w:b/>
                <w:bCs/>
                <w:color w:val="0F766E"/>
                <w:sz w:val="21"/>
                <w:szCs w:val="21"/>
              </w:rPr>
              <w:t>Fizibilite notu</w:t>
            </w:r>
          </w:p>
          <w:p>
            <w:pPr>
              <w:pStyle w:val="Normal"/>
              <w:jc w:val="both"/>
              <w:rPr/>
            </w:pPr>
            <w:r>
              <w:rPr>
                <w:color w:val="334155"/>
                <w:sz w:val="20"/>
                <w:szCs w:val="20"/>
              </w:rPr>
              <w:t>OpenSanctions’ın self-host edilebilir olması, hem KVKK (veri dışarı çıkmaz) hem de maliyet öngörülebilirliği açısından bu projeyi bir solo geliştirici için gerçekçi kılan en önemli faktördür. Yerel kaynakların (MERSIS/Ticaret Sicil) erişim yöntemi Faz 1’de teknik olarak doğrulanmalı ve yasal kullanım koşulları netleştirilmelidir.</w:t>
            </w:r>
          </w:p>
        </w:tc>
      </w:tr>
    </w:tbl>
    <w:p>
      <w:pPr>
        <w:pStyle w:val="Normal"/>
        <w:rPr/>
      </w:pPr>
      <w:r>
        <w:rPr/>
      </w:r>
      <w:r>
        <w:br w:type="page"/>
      </w:r>
    </w:p>
    <w:p>
      <w:pPr>
        <w:pStyle w:val="Heading1"/>
        <w:spacing w:before="0" w:after="160"/>
        <w:rPr/>
      </w:pPr>
      <w:bookmarkStart w:id="35" w:name="__RefHeading___Toc936_3654386526"/>
      <w:bookmarkEnd w:id="35"/>
      <w:r>
        <w:rPr>
          <w:b/>
          <w:bCs/>
          <w:color w:val="1E293B"/>
          <w:sz w:val="30"/>
          <w:szCs w:val="30"/>
        </w:rPr>
        <w:t>8. Güvenlik, Gizlilik ve Uyum</w:t>
      </w:r>
    </w:p>
    <w:p>
      <w:pPr>
        <w:pStyle w:val="Normal"/>
        <w:spacing w:lineRule="exact" w:line="276" w:before="0" w:after="120"/>
        <w:jc w:val="both"/>
        <w:rPr/>
      </w:pPr>
      <w:r>
        <w:rPr>
          <w:color w:val="1F2937"/>
          <w:sz w:val="21"/>
          <w:szCs w:val="21"/>
        </w:rPr>
        <w:t>Bu ürün, tanımı gereği hassas kişisel ve kurumsal veri işler; güvenlik ve uyum sonradan eklenen değil, mimarinin çekirdeğidir.</w:t>
      </w:r>
    </w:p>
    <w:p>
      <w:pPr>
        <w:pStyle w:val="Heading2"/>
        <w:spacing w:before="240" w:after="120"/>
        <w:rPr/>
      </w:pPr>
      <w:bookmarkStart w:id="36" w:name="__RefHeading___Toc938_3654386526"/>
      <w:bookmarkEnd w:id="36"/>
      <w:r>
        <w:rPr>
          <w:b/>
          <w:bCs/>
          <w:color w:val="0E7490"/>
          <w:sz w:val="25"/>
          <w:szCs w:val="25"/>
        </w:rPr>
        <w:t>8.1 KVKK / GDPR</w:t>
      </w:r>
    </w:p>
    <w:p>
      <w:pPr>
        <w:pStyle w:val="ListParagraph"/>
        <w:numPr>
          <w:ilvl w:val="0"/>
          <w:numId w:val="1"/>
        </w:numPr>
        <w:spacing w:lineRule="exact" w:line="270" w:before="0" w:after="70"/>
        <w:jc w:val="both"/>
        <w:rPr/>
      </w:pPr>
      <w:r>
        <w:rPr>
          <w:color w:val="1F2937"/>
          <w:sz w:val="21"/>
          <w:szCs w:val="21"/>
        </w:rPr>
        <w:t>Veri yerelleştirme: kiracı verisi Türkiye’de barındırılabilir; self-host tarama sayesinde PII dış API’ye gönderilmez.</w:t>
      </w:r>
    </w:p>
    <w:p>
      <w:pPr>
        <w:pStyle w:val="ListParagraph"/>
        <w:numPr>
          <w:ilvl w:val="0"/>
          <w:numId w:val="1"/>
        </w:numPr>
        <w:spacing w:lineRule="exact" w:line="270" w:before="0" w:after="70"/>
        <w:jc w:val="both"/>
        <w:rPr/>
      </w:pPr>
      <w:r>
        <w:rPr>
          <w:color w:val="1F2937"/>
          <w:sz w:val="21"/>
          <w:szCs w:val="21"/>
        </w:rPr>
        <w:t>Amaç sınırlaması ve saklama: veri yalnızca uyum amacıyla işlenir; belgeler için en az 5 yıl saklama, ardından planlı imha.</w:t>
      </w:r>
    </w:p>
    <w:p>
      <w:pPr>
        <w:pStyle w:val="ListParagraph"/>
        <w:numPr>
          <w:ilvl w:val="0"/>
          <w:numId w:val="1"/>
        </w:numPr>
        <w:spacing w:lineRule="exact" w:line="270" w:before="0" w:after="70"/>
        <w:jc w:val="both"/>
        <w:rPr/>
      </w:pPr>
      <w:r>
        <w:rPr>
          <w:color w:val="1F2937"/>
          <w:sz w:val="21"/>
          <w:szCs w:val="21"/>
        </w:rPr>
        <w:t>Veri sahibi hakları, aydınlatma metni, işleme envanteri ve VERBİS uyumu süreç olarak tasarlanır.</w:t>
      </w:r>
    </w:p>
    <w:p>
      <w:pPr>
        <w:pStyle w:val="ListParagraph"/>
        <w:numPr>
          <w:ilvl w:val="0"/>
          <w:numId w:val="1"/>
        </w:numPr>
        <w:spacing w:lineRule="exact" w:line="270" w:before="0" w:after="70"/>
        <w:jc w:val="both"/>
        <w:rPr/>
      </w:pPr>
      <w:r>
        <w:rPr>
          <w:color w:val="1F2937"/>
          <w:sz w:val="21"/>
          <w:szCs w:val="21"/>
        </w:rPr>
        <w:t>Şifreleme: aktarımda TLS, beklemede (at-rest) disk/kolon şifreleme; sırlar için gizli yönetimi (secret manager).</w:t>
      </w:r>
    </w:p>
    <w:p>
      <w:pPr>
        <w:pStyle w:val="Heading2"/>
        <w:spacing w:before="240" w:after="120"/>
        <w:rPr/>
      </w:pPr>
      <w:bookmarkStart w:id="37" w:name="__RefHeading___Toc940_3654386526"/>
      <w:bookmarkEnd w:id="37"/>
      <w:r>
        <w:rPr>
          <w:b/>
          <w:bCs/>
          <w:color w:val="0E7490"/>
          <w:sz w:val="25"/>
          <w:szCs w:val="25"/>
        </w:rPr>
        <w:t>8.2 Uygulama güvenliği</w:t>
      </w:r>
    </w:p>
    <w:p>
      <w:pPr>
        <w:pStyle w:val="ListParagraph"/>
        <w:numPr>
          <w:ilvl w:val="0"/>
          <w:numId w:val="1"/>
        </w:numPr>
        <w:spacing w:lineRule="exact" w:line="270" w:before="0" w:after="70"/>
        <w:jc w:val="both"/>
        <w:rPr/>
      </w:pPr>
      <w:r>
        <w:rPr>
          <w:color w:val="1F2937"/>
          <w:sz w:val="21"/>
          <w:szCs w:val="21"/>
        </w:rPr>
        <w:t>Kimlik: JWT + yenileme; kurumsal için SSO/OIDC yol haritada.</w:t>
      </w:r>
    </w:p>
    <w:p>
      <w:pPr>
        <w:pStyle w:val="ListParagraph"/>
        <w:numPr>
          <w:ilvl w:val="0"/>
          <w:numId w:val="1"/>
        </w:numPr>
        <w:spacing w:lineRule="exact" w:line="270" w:before="0" w:after="70"/>
        <w:jc w:val="both"/>
        <w:rPr/>
      </w:pPr>
      <w:r>
        <w:rPr>
          <w:color w:val="1F2937"/>
          <w:sz w:val="21"/>
          <w:szCs w:val="21"/>
        </w:rPr>
        <w:t>Yetki: RLS ile kiracı izolasyonu + RBAC ile rol bazlı erişim; en az yetki ilkesi.</w:t>
      </w:r>
    </w:p>
    <w:p>
      <w:pPr>
        <w:pStyle w:val="ListParagraph"/>
        <w:numPr>
          <w:ilvl w:val="0"/>
          <w:numId w:val="1"/>
        </w:numPr>
        <w:spacing w:lineRule="exact" w:line="270" w:before="0" w:after="70"/>
        <w:jc w:val="both"/>
        <w:rPr/>
      </w:pPr>
      <w:r>
        <w:rPr>
          <w:color w:val="1F2937"/>
          <w:sz w:val="21"/>
          <w:szCs w:val="21"/>
        </w:rPr>
        <w:t>Denetim izi: tüm risk-etkili işlemler değişmez (append-only) olarak loglanır; kim, ne zaman, hangi kaynağa dayanarak.</w:t>
      </w:r>
    </w:p>
    <w:p>
      <w:pPr>
        <w:pStyle w:val="ListParagraph"/>
        <w:numPr>
          <w:ilvl w:val="0"/>
          <w:numId w:val="1"/>
        </w:numPr>
        <w:spacing w:lineRule="exact" w:line="270" w:before="0" w:after="70"/>
        <w:jc w:val="both"/>
        <w:rPr/>
      </w:pPr>
      <w:r>
        <w:rPr>
          <w:color w:val="1F2937"/>
          <w:sz w:val="21"/>
          <w:szCs w:val="21"/>
        </w:rPr>
        <w:t>Girdi doğrulama, oran sınırlama, bağımlılık/gizli tarama CI’da; düzenli güvenlik gözden geçirmesi.</w:t>
      </w:r>
    </w:p>
    <w:p>
      <w:pPr>
        <w:pStyle w:val="Heading2"/>
        <w:spacing w:before="240" w:after="120"/>
        <w:rPr/>
      </w:pPr>
      <w:bookmarkStart w:id="38" w:name="__RefHeading___Toc942_3654386526"/>
      <w:bookmarkEnd w:id="38"/>
      <w:r>
        <w:rPr>
          <w:b/>
          <w:bCs/>
          <w:color w:val="0E7490"/>
          <w:sz w:val="25"/>
          <w:szCs w:val="25"/>
        </w:rPr>
        <w:t>8.3 Sorumluluk konumlandırması</w:t>
      </w:r>
    </w:p>
    <w:p>
      <w:pPr>
        <w:pStyle w:val="Normal"/>
        <w:spacing w:lineRule="exact" w:line="276" w:before="0" w:after="120"/>
        <w:jc w:val="both"/>
        <w:rPr/>
      </w:pPr>
      <w:r>
        <w:rPr>
          <w:color w:val="1F2937"/>
          <w:sz w:val="21"/>
          <w:szCs w:val="21"/>
        </w:rPr>
        <w:t>AEGIS karar-destek sistemidir, nihai uyum kararını vermez. Sözleşme ve arayüz, kararın yükümlünün uzmanına ait olduğunu açıkça belirtir. Bu, hem hukuki riski yönetir hem de ürünün doğru beklentiyle satılmasını sağlar.</w:t>
      </w:r>
    </w:p>
    <w:p>
      <w:pPr>
        <w:pStyle w:val="Normal"/>
        <w:rPr/>
      </w:pPr>
      <w:r>
        <w:rPr/>
      </w:r>
      <w:r>
        <w:br w:type="page"/>
      </w:r>
    </w:p>
    <w:p>
      <w:pPr>
        <w:pStyle w:val="Heading1"/>
        <w:spacing w:before="0" w:after="160"/>
        <w:rPr/>
      </w:pPr>
      <w:bookmarkStart w:id="39" w:name="__RefHeading___Toc944_3654386526"/>
      <w:bookmarkEnd w:id="39"/>
      <w:r>
        <w:rPr>
          <w:b/>
          <w:bCs/>
          <w:color w:val="1E293B"/>
          <w:sz w:val="30"/>
          <w:szCs w:val="30"/>
        </w:rPr>
        <w:t>9. Fonksiyonel Olmayan Gereksinimler</w:t>
      </w:r>
    </w:p>
    <w:tbl>
      <w:tblPr>
        <w:tblW w:w="9026" w:type="dxa"/>
        <w:jc w:val="left"/>
        <w:tblInd w:w="0" w:type="dxa"/>
        <w:tblLayout w:type="fixed"/>
        <w:tblCellMar>
          <w:top w:w="80" w:type="dxa"/>
          <w:left w:w="100" w:type="dxa"/>
          <w:bottom w:w="80" w:type="dxa"/>
          <w:right w:w="100" w:type="dxa"/>
        </w:tblCellMar>
      </w:tblPr>
      <w:tblGrid>
        <w:gridCol w:w="2100"/>
        <w:gridCol w:w="3400"/>
        <w:gridCol w:w="3526"/>
      </w:tblGrid>
      <w:tr>
        <w:trPr>
          <w:tblHeader w:val="true"/>
        </w:trPr>
        <w:tc>
          <w:tcPr>
            <w:tcW w:w="2100"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Nitelik</w:t>
            </w:r>
          </w:p>
        </w:tc>
        <w:tc>
          <w:tcPr>
            <w:tcW w:w="3400"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Hedef</w:t>
            </w:r>
          </w:p>
        </w:tc>
        <w:tc>
          <w:tcPr>
            <w:tcW w:w="3526"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Yaklaşım</w:t>
            </w:r>
          </w:p>
        </w:tc>
      </w:tr>
      <w:tr>
        <w:trPr/>
        <w:tc>
          <w:tcPr>
            <w:tcW w:w="21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Performans</w:t>
            </w:r>
          </w:p>
        </w:tc>
        <w:tc>
          <w:tcPr>
            <w:tcW w:w="3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Tek kurum taraması &lt; ~30 sn (senkron özet), derin analiz asenkron</w:t>
            </w:r>
          </w:p>
        </w:tc>
        <w:tc>
          <w:tcPr>
            <w:tcW w:w="35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Async I/O, önbellek, işçi kuyruğu</w:t>
            </w:r>
          </w:p>
        </w:tc>
      </w:tr>
      <w:tr>
        <w:trPr/>
        <w:tc>
          <w:tcPr>
            <w:tcW w:w="21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Ölçeklenebilirlik</w:t>
            </w:r>
          </w:p>
        </w:tc>
        <w:tc>
          <w:tcPr>
            <w:tcW w:w="34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Kiracı ve sorgu hacmiyle yatay ölçek</w:t>
            </w:r>
          </w:p>
        </w:tc>
        <w:tc>
          <w:tcPr>
            <w:tcW w:w="35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Durumsuz servisler, Celery işçi havuzu, DB indeksleme</w:t>
            </w:r>
          </w:p>
        </w:tc>
      </w:tr>
      <w:tr>
        <w:trPr/>
        <w:tc>
          <w:tcPr>
            <w:tcW w:w="21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Güvenilirlik</w:t>
            </w:r>
          </w:p>
        </w:tc>
        <w:tc>
          <w:tcPr>
            <w:tcW w:w="3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Tarama işlerinde yeniden deneme, idempotent job</w:t>
            </w:r>
          </w:p>
        </w:tc>
        <w:tc>
          <w:tcPr>
            <w:tcW w:w="35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Celery retry, iş durumu takibi</w:t>
            </w:r>
          </w:p>
        </w:tc>
      </w:tr>
      <w:tr>
        <w:trPr/>
        <w:tc>
          <w:tcPr>
            <w:tcW w:w="21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Denetlenebilirlik</w:t>
            </w:r>
          </w:p>
        </w:tc>
        <w:tc>
          <w:tcPr>
            <w:tcW w:w="34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Her bulgu kaynağa izlenebilir</w:t>
            </w:r>
          </w:p>
        </w:tc>
        <w:tc>
          <w:tcPr>
            <w:tcW w:w="35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Kaynak referansı + append-only audit log</w:t>
            </w:r>
          </w:p>
        </w:tc>
      </w:tr>
      <w:tr>
        <w:trPr/>
        <w:tc>
          <w:tcPr>
            <w:tcW w:w="21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Doğruluk</w:t>
            </w:r>
          </w:p>
        </w:tc>
        <w:tc>
          <w:tcPr>
            <w:tcW w:w="3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Yanlış pozitif oranını ölçülebilir düşürme</w:t>
            </w:r>
          </w:p>
        </w:tc>
        <w:tc>
          <w:tcPr>
            <w:tcW w:w="35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Eşleştirme skorlama + insan onayı + geri bildirim döngüsü</w:t>
            </w:r>
          </w:p>
        </w:tc>
      </w:tr>
      <w:tr>
        <w:trPr/>
        <w:tc>
          <w:tcPr>
            <w:tcW w:w="21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Sürdürülebilirlik (solo)</w:t>
            </w:r>
          </w:p>
        </w:tc>
        <w:tc>
          <w:tcPr>
            <w:tcW w:w="34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Tek geliştiricinin işletebileceği operasyon</w:t>
            </w:r>
          </w:p>
        </w:tc>
        <w:tc>
          <w:tcPr>
            <w:tcW w:w="3526"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Tek DB (pgvector/AGE), az servis, Docker Compose ile başlangıç</w:t>
            </w:r>
          </w:p>
        </w:tc>
      </w:tr>
      <w:tr>
        <w:trPr/>
        <w:tc>
          <w:tcPr>
            <w:tcW w:w="21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Gözlemlenebilirlik</w:t>
            </w:r>
          </w:p>
        </w:tc>
        <w:tc>
          <w:tcPr>
            <w:tcW w:w="34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Hata ve performans görünürlüğü</w:t>
            </w:r>
          </w:p>
        </w:tc>
        <w:tc>
          <w:tcPr>
            <w:tcW w:w="3526"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Yapılandırılmış log, Sentry, metrikler</w:t>
            </w:r>
          </w:p>
        </w:tc>
      </w:tr>
    </w:tbl>
    <w:p>
      <w:pPr>
        <w:pStyle w:val="Normal"/>
        <w:rPr/>
      </w:pPr>
      <w:r>
        <w:rPr/>
      </w:r>
      <w:r>
        <w:br w:type="page"/>
      </w:r>
    </w:p>
    <w:p>
      <w:pPr>
        <w:pStyle w:val="Heading1"/>
        <w:spacing w:before="0" w:after="160"/>
        <w:rPr/>
      </w:pPr>
      <w:bookmarkStart w:id="40" w:name="__RefHeading___Toc946_3654386526"/>
      <w:bookmarkEnd w:id="40"/>
      <w:r>
        <w:rPr>
          <w:b/>
          <w:bCs/>
          <w:color w:val="1E293B"/>
          <w:sz w:val="30"/>
          <w:szCs w:val="30"/>
        </w:rPr>
        <w:t>10. Geliştirme Yol Haritası</w:t>
      </w:r>
    </w:p>
    <w:p>
      <w:pPr>
        <w:pStyle w:val="Normal"/>
        <w:spacing w:lineRule="exact" w:line="276" w:before="0" w:after="120"/>
        <w:jc w:val="both"/>
        <w:rPr/>
      </w:pPr>
      <w:r>
        <w:rPr>
          <w:color w:val="1F2937"/>
          <w:sz w:val="21"/>
          <w:szCs w:val="21"/>
        </w:rPr>
        <w:t>Yol haritası, tek geliştirici gerçekliğine göre fazlanmıştır. Her faz, satılabilir/gösterilebilir bir çıktı üretir; “önce altyapı, sonra ürün” tuzağından kaçınmak için değer erken sahaya çıkar.</w:t>
      </w:r>
    </w:p>
    <w:p>
      <w:pPr>
        <w:pStyle w:val="Heading2"/>
        <w:spacing w:before="240" w:after="120"/>
        <w:rPr/>
      </w:pPr>
      <w:bookmarkStart w:id="41" w:name="__RefHeading___Toc948_3654386526"/>
      <w:bookmarkEnd w:id="41"/>
      <w:r>
        <w:rPr>
          <w:b/>
          <w:bCs/>
          <w:color w:val="0E7490"/>
          <w:sz w:val="25"/>
          <w:szCs w:val="25"/>
        </w:rPr>
        <w:t>10.1 Faz 0 — Doğrulama (2–3 hafta)</w:t>
      </w:r>
    </w:p>
    <w:p>
      <w:pPr>
        <w:pStyle w:val="ListParagraph"/>
        <w:numPr>
          <w:ilvl w:val="0"/>
          <w:numId w:val="1"/>
        </w:numPr>
        <w:spacing w:lineRule="exact" w:line="270" w:before="0" w:after="70"/>
        <w:jc w:val="both"/>
        <w:rPr/>
      </w:pPr>
      <w:r>
        <w:rPr>
          <w:color w:val="1F2937"/>
          <w:sz w:val="21"/>
          <w:szCs w:val="21"/>
        </w:rPr>
        <w:t>10–15 keşif görüşmesi (SMMM/YMM); mevcut manuel sürecin ve acının doğrulanması.</w:t>
      </w:r>
    </w:p>
    <w:p>
      <w:pPr>
        <w:pStyle w:val="ListParagraph"/>
        <w:numPr>
          <w:ilvl w:val="0"/>
          <w:numId w:val="1"/>
        </w:numPr>
        <w:spacing w:lineRule="exact" w:line="270" w:before="0" w:after="70"/>
        <w:jc w:val="both"/>
        <w:rPr/>
      </w:pPr>
      <w:r>
        <w:rPr>
          <w:color w:val="1F2937"/>
          <w:sz w:val="21"/>
          <w:szCs w:val="21"/>
        </w:rPr>
        <w:t>Veri erişim fizibilitesi: OpenSanctions self-host denemesi; MERSIS/Ticaret Sicil erişim yöntemi ve yasal koşulların netleştirilmesi.</w:t>
      </w:r>
    </w:p>
    <w:p>
      <w:pPr>
        <w:pStyle w:val="ListParagraph"/>
        <w:numPr>
          <w:ilvl w:val="0"/>
          <w:numId w:val="1"/>
        </w:numPr>
        <w:spacing w:lineRule="exact" w:line="270" w:before="0" w:after="70"/>
        <w:jc w:val="both"/>
        <w:rPr/>
      </w:pPr>
      <w:r>
        <w:rPr>
          <w:color w:val="1F2937"/>
          <w:sz w:val="21"/>
          <w:szCs w:val="21"/>
        </w:rPr>
        <w:t>Kesin isim/marka ve ticari marka kontrolü; OpenSanctions lisans modelinin fiyatlanması.</w:t>
      </w:r>
    </w:p>
    <w:p>
      <w:pPr>
        <w:pStyle w:val="Heading2"/>
        <w:spacing w:before="240" w:after="120"/>
        <w:rPr/>
      </w:pPr>
      <w:bookmarkStart w:id="42" w:name="__RefHeading___Toc950_3654386526"/>
      <w:bookmarkEnd w:id="42"/>
      <w:r>
        <w:rPr>
          <w:b/>
          <w:bCs/>
          <w:color w:val="0E7490"/>
          <w:sz w:val="25"/>
          <w:szCs w:val="25"/>
        </w:rPr>
        <w:t>10.2 Faz 1 — Çekirdek MVP (6–8 hafta)</w:t>
      </w:r>
    </w:p>
    <w:p>
      <w:pPr>
        <w:pStyle w:val="ListParagraph"/>
        <w:numPr>
          <w:ilvl w:val="0"/>
          <w:numId w:val="1"/>
        </w:numPr>
        <w:spacing w:lineRule="exact" w:line="270" w:before="0" w:after="70"/>
        <w:jc w:val="both"/>
        <w:rPr/>
      </w:pPr>
      <w:r>
        <w:rPr>
          <w:color w:val="1F2937"/>
          <w:sz w:val="21"/>
          <w:szCs w:val="21"/>
        </w:rPr>
        <w:t>Çok kiracılı iskelet (TenderIQ’dan): FastAPI + Postgres/RLS + Celery/Redis + Next.js.</w:t>
      </w:r>
    </w:p>
    <w:p>
      <w:pPr>
        <w:pStyle w:val="ListParagraph"/>
        <w:numPr>
          <w:ilvl w:val="0"/>
          <w:numId w:val="1"/>
        </w:numPr>
        <w:spacing w:lineRule="exact" w:line="270" w:before="0" w:after="70"/>
        <w:jc w:val="both"/>
        <w:rPr/>
      </w:pPr>
      <w:r>
        <w:rPr>
          <w:color w:val="1F2937"/>
          <w:sz w:val="21"/>
          <w:szCs w:val="21"/>
        </w:rPr>
        <w:t>M3 Yaptırım/PEP taraması (self-host yente) + M1 kurum doğrulama + M5 temel rapor &amp; denetim izi.</w:t>
      </w:r>
    </w:p>
    <w:p>
      <w:pPr>
        <w:pStyle w:val="ListParagraph"/>
        <w:numPr>
          <w:ilvl w:val="0"/>
          <w:numId w:val="1"/>
        </w:numPr>
        <w:spacing w:lineRule="exact" w:line="270" w:before="0" w:after="70"/>
        <w:jc w:val="both"/>
        <w:rPr/>
      </w:pPr>
      <w:r>
        <w:rPr>
          <w:color w:val="1F2937"/>
          <w:sz w:val="21"/>
          <w:szCs w:val="21"/>
        </w:rPr>
        <w:t>İlk pilot: 3–5 ofisle gerçek dosya üzerinde test.</w:t>
      </w:r>
    </w:p>
    <w:p>
      <w:pPr>
        <w:pStyle w:val="Heading2"/>
        <w:spacing w:before="240" w:after="120"/>
        <w:rPr/>
      </w:pPr>
      <w:bookmarkStart w:id="43" w:name="__RefHeading___Toc952_3654386526"/>
      <w:bookmarkEnd w:id="43"/>
      <w:r>
        <w:rPr>
          <w:b/>
          <w:bCs/>
          <w:color w:val="0E7490"/>
          <w:sz w:val="25"/>
          <w:szCs w:val="25"/>
        </w:rPr>
        <w:t>10.3 Faz 2 — Farklılaştırma (6–8 hafta)</w:t>
      </w:r>
    </w:p>
    <w:p>
      <w:pPr>
        <w:pStyle w:val="ListParagraph"/>
        <w:numPr>
          <w:ilvl w:val="0"/>
          <w:numId w:val="1"/>
        </w:numPr>
        <w:spacing w:lineRule="exact" w:line="270" w:before="0" w:after="70"/>
        <w:jc w:val="both"/>
        <w:rPr/>
      </w:pPr>
      <w:r>
        <w:rPr>
          <w:color w:val="1F2937"/>
          <w:sz w:val="21"/>
          <w:szCs w:val="21"/>
        </w:rPr>
        <w:t>M2 UBO/sahiplik grafiği (recursive CTE) + M4 AI olumsuz medya (LangGraph + pgvector).</w:t>
      </w:r>
    </w:p>
    <w:p>
      <w:pPr>
        <w:pStyle w:val="ListParagraph"/>
        <w:numPr>
          <w:ilvl w:val="0"/>
          <w:numId w:val="1"/>
        </w:numPr>
        <w:spacing w:lineRule="exact" w:line="270" w:before="0" w:after="70"/>
        <w:jc w:val="both"/>
        <w:rPr/>
      </w:pPr>
      <w:r>
        <w:rPr>
          <w:color w:val="1F2937"/>
          <w:sz w:val="21"/>
          <w:szCs w:val="21"/>
        </w:rPr>
        <w:t>Belge yükleme/çıkarım (Docling) + ŞİB taslağı üretimi.</w:t>
      </w:r>
    </w:p>
    <w:p>
      <w:pPr>
        <w:pStyle w:val="ListParagraph"/>
        <w:numPr>
          <w:ilvl w:val="0"/>
          <w:numId w:val="1"/>
        </w:numPr>
        <w:spacing w:lineRule="exact" w:line="270" w:before="0" w:after="70"/>
        <w:jc w:val="both"/>
        <w:rPr/>
      </w:pPr>
      <w:r>
        <w:rPr>
          <w:color w:val="1F2937"/>
          <w:sz w:val="21"/>
          <w:szCs w:val="21"/>
        </w:rPr>
        <w:t>Açıklanabilir risk skoru ve kaynak izli dosya çıktısının olgunlaştırılması.</w:t>
      </w:r>
    </w:p>
    <w:p>
      <w:pPr>
        <w:pStyle w:val="Heading2"/>
        <w:spacing w:before="240" w:after="120"/>
        <w:rPr/>
      </w:pPr>
      <w:bookmarkStart w:id="44" w:name="__RefHeading___Toc954_3654386526"/>
      <w:bookmarkEnd w:id="44"/>
      <w:r>
        <w:rPr>
          <w:b/>
          <w:bCs/>
          <w:color w:val="0E7490"/>
          <w:sz w:val="25"/>
          <w:szCs w:val="25"/>
        </w:rPr>
        <w:t>10.4 Faz 3 — Ölçek ve gelir (8–10 hafta)</w:t>
      </w:r>
    </w:p>
    <w:p>
      <w:pPr>
        <w:pStyle w:val="ListParagraph"/>
        <w:numPr>
          <w:ilvl w:val="0"/>
          <w:numId w:val="1"/>
        </w:numPr>
        <w:spacing w:lineRule="exact" w:line="270" w:before="0" w:after="70"/>
        <w:jc w:val="both"/>
        <w:rPr/>
      </w:pPr>
      <w:r>
        <w:rPr>
          <w:color w:val="1F2937"/>
          <w:sz w:val="21"/>
          <w:szCs w:val="21"/>
        </w:rPr>
        <w:t>Sürekli izleme (Celery periyodik + diff + uyarı) — tekrarlayan gelir motoru.</w:t>
      </w:r>
    </w:p>
    <w:p>
      <w:pPr>
        <w:pStyle w:val="ListParagraph"/>
        <w:numPr>
          <w:ilvl w:val="0"/>
          <w:numId w:val="1"/>
        </w:numPr>
        <w:spacing w:lineRule="exact" w:line="270" w:before="0" w:after="70"/>
        <w:jc w:val="both"/>
        <w:rPr/>
      </w:pPr>
      <w:r>
        <w:rPr>
          <w:color w:val="1F2937"/>
          <w:sz w:val="21"/>
          <w:szCs w:val="21"/>
        </w:rPr>
        <w:t>Case management, batch tarama, API anahtarı + webhook, faturalandırma/abonelik.</w:t>
      </w:r>
    </w:p>
    <w:p>
      <w:pPr>
        <w:pStyle w:val="ListParagraph"/>
        <w:numPr>
          <w:ilvl w:val="0"/>
          <w:numId w:val="1"/>
        </w:numPr>
        <w:spacing w:lineRule="exact" w:line="270" w:before="0" w:after="70"/>
        <w:jc w:val="both"/>
        <w:rPr/>
      </w:pPr>
      <w:r>
        <w:rPr>
          <w:color w:val="1F2937"/>
          <w:sz w:val="21"/>
          <w:szCs w:val="21"/>
        </w:rPr>
        <w:t>White-label ve çok dilli isim eşleştirmenin derinleştirilmesi.</w:t>
      </w:r>
    </w:p>
    <w:p>
      <w:pPr>
        <w:pStyle w:val="Heading2"/>
        <w:spacing w:before="240" w:after="120"/>
        <w:rPr/>
      </w:pPr>
      <w:bookmarkStart w:id="45" w:name="__RefHeading___Toc956_3654386526"/>
      <w:bookmarkEnd w:id="45"/>
      <w:r>
        <w:rPr>
          <w:b/>
          <w:bCs/>
          <w:color w:val="0E7490"/>
          <w:sz w:val="25"/>
          <w:szCs w:val="25"/>
        </w:rPr>
        <w:t>10.5 Faz 4 — Genişleme (sürekli)</w:t>
      </w:r>
    </w:p>
    <w:p>
      <w:pPr>
        <w:pStyle w:val="ListParagraph"/>
        <w:numPr>
          <w:ilvl w:val="0"/>
          <w:numId w:val="1"/>
        </w:numPr>
        <w:spacing w:lineRule="exact" w:line="270" w:before="0" w:after="70"/>
        <w:jc w:val="both"/>
        <w:rPr/>
      </w:pPr>
      <w:r>
        <w:rPr>
          <w:color w:val="1F2937"/>
          <w:sz w:val="21"/>
          <w:szCs w:val="21"/>
        </w:rPr>
        <w:t>Global veri odaklı EU/UK pazarına API-first açılım; SSO/OIDC; Apache AGE’e geçiş (gerekirse).</w:t>
      </w:r>
    </w:p>
    <w:p>
      <w:pPr>
        <w:pStyle w:val="ListParagraph"/>
        <w:numPr>
          <w:ilvl w:val="0"/>
          <w:numId w:val="1"/>
        </w:numPr>
        <w:spacing w:lineRule="exact" w:line="270" w:before="0" w:after="70"/>
        <w:jc w:val="both"/>
        <w:rPr/>
      </w:pPr>
      <w:r>
        <w:rPr>
          <w:color w:val="1F2937"/>
          <w:sz w:val="21"/>
          <w:szCs w:val="21"/>
        </w:rPr>
        <w:t>İleri EDD, bireysel KYC entegrasyonu ve muhasebe yazılımı ortaklıkları.</w:t>
      </w:r>
    </w:p>
    <w:tbl>
      <w:tblPr>
        <w:tblW w:w="9026" w:type="dxa"/>
        <w:jc w:val="left"/>
        <w:tblInd w:w="0" w:type="dxa"/>
        <w:tblLayout w:type="fixed"/>
        <w:tblCellMar>
          <w:top w:w="120" w:type="dxa"/>
          <w:left w:w="160" w:type="dxa"/>
          <w:bottom w:w="120" w:type="dxa"/>
          <w:right w:w="160" w:type="dxa"/>
        </w:tblCellMar>
      </w:tblPr>
      <w:tblGrid>
        <w:gridCol w:w="9026"/>
      </w:tblGrid>
      <w:tr>
        <w:trPr/>
        <w:tc>
          <w:tcPr>
            <w:tcW w:w="9026" w:type="dxa"/>
            <w:tcBorders>
              <w:top w:val="single" w:sz="2" w:space="0" w:color="0E7490"/>
              <w:left w:val="single" w:sz="18" w:space="0" w:color="0E7490"/>
              <w:bottom w:val="single" w:sz="2" w:space="0" w:color="0E7490"/>
              <w:right w:val="single" w:sz="2" w:space="0" w:color="0E7490"/>
            </w:tcBorders>
            <w:shd w:fill="ECFEFF" w:val="clear"/>
          </w:tcPr>
          <w:p>
            <w:pPr>
              <w:pStyle w:val="Normal"/>
              <w:spacing w:before="0" w:after="60"/>
              <w:rPr/>
            </w:pPr>
            <w:r>
              <w:rPr>
                <w:b/>
                <w:bCs/>
                <w:color w:val="0F766E"/>
                <w:sz w:val="21"/>
                <w:szCs w:val="21"/>
              </w:rPr>
              <w:t>Fazlama mantığı</w:t>
            </w:r>
          </w:p>
          <w:p>
            <w:pPr>
              <w:pStyle w:val="Normal"/>
              <w:jc w:val="both"/>
              <w:rPr/>
            </w:pPr>
            <w:r>
              <w:rPr>
                <w:color w:val="334155"/>
                <w:sz w:val="20"/>
                <w:szCs w:val="20"/>
              </w:rPr>
              <w:t>Faz 1’in sonunda elde satılabilir bir tarama + rapor ürünü olur. Farklılaştırıcılar (UBO grafiği, AI medya) Faz 2’de gelir; tekrarlayan gelirin kilidini açan sürekli izleme Faz 3’tedir. Bu sıralama, nakit akışını ve öğrenmeyi mümkün olan en erken noktaya çeker.</w:t>
            </w:r>
          </w:p>
        </w:tc>
      </w:tr>
    </w:tbl>
    <w:p>
      <w:pPr>
        <w:pStyle w:val="Normal"/>
        <w:rPr/>
      </w:pPr>
      <w:r>
        <w:rPr/>
      </w:r>
      <w:r>
        <w:br w:type="page"/>
      </w:r>
    </w:p>
    <w:p>
      <w:pPr>
        <w:pStyle w:val="Heading1"/>
        <w:spacing w:before="0" w:after="160"/>
        <w:rPr/>
      </w:pPr>
      <w:bookmarkStart w:id="46" w:name="__RefHeading___Toc958_3654386526"/>
      <w:bookmarkEnd w:id="46"/>
      <w:r>
        <w:rPr>
          <w:b/>
          <w:bCs/>
          <w:color w:val="1E293B"/>
          <w:sz w:val="30"/>
          <w:szCs w:val="30"/>
        </w:rPr>
        <w:t>11. Risk Analizi ve Azaltma</w:t>
      </w:r>
    </w:p>
    <w:tbl>
      <w:tblPr>
        <w:tblW w:w="9026" w:type="dxa"/>
        <w:jc w:val="left"/>
        <w:tblInd w:w="0" w:type="dxa"/>
        <w:tblLayout w:type="fixed"/>
        <w:tblCellMar>
          <w:top w:w="80" w:type="dxa"/>
          <w:left w:w="100" w:type="dxa"/>
          <w:bottom w:w="80" w:type="dxa"/>
          <w:right w:w="100" w:type="dxa"/>
        </w:tblCellMar>
      </w:tblPr>
      <w:tblGrid>
        <w:gridCol w:w="2900"/>
        <w:gridCol w:w="899"/>
        <w:gridCol w:w="5227"/>
      </w:tblGrid>
      <w:tr>
        <w:trPr>
          <w:tblHeader w:val="true"/>
        </w:trPr>
        <w:tc>
          <w:tcPr>
            <w:tcW w:w="2900"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Risk</w:t>
            </w:r>
          </w:p>
        </w:tc>
        <w:tc>
          <w:tcPr>
            <w:tcW w:w="899"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Etki</w:t>
            </w:r>
          </w:p>
        </w:tc>
        <w:tc>
          <w:tcPr>
            <w:tcW w:w="5227"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Azaltma</w:t>
            </w:r>
          </w:p>
        </w:tc>
      </w:tr>
      <w:tr>
        <w:trPr/>
        <w:tc>
          <w:tcPr>
            <w:tcW w:w="29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Veri lisansı maliyeti (OpenSanctions ticari)</w:t>
            </w:r>
          </w:p>
        </w:tc>
        <w:tc>
          <w:tcPr>
            <w:tcW w:w="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Yüksek</w:t>
            </w:r>
          </w:p>
        </w:tc>
        <w:tc>
          <w:tcPr>
            <w:tcW w:w="5227"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Faz 0’da fiyatlama; maliyeti sorgu-başı fiyata yansıtma; self-host ile öngörülebilirlik</w:t>
            </w:r>
          </w:p>
        </w:tc>
      </w:tr>
      <w:tr>
        <w:trPr/>
        <w:tc>
          <w:tcPr>
            <w:tcW w:w="29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Yerel kaynak erişimi (MERSIS/Ticaret Sicil)</w:t>
            </w:r>
          </w:p>
        </w:tc>
        <w:tc>
          <w:tcPr>
            <w:tcW w:w="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Yüksek</w:t>
            </w:r>
          </w:p>
        </w:tc>
        <w:tc>
          <w:tcPr>
            <w:tcW w:w="5227"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Faz 0’da teknik+yasal doğrulama; alternatif çıkarım yöntemleri; kademeli kapsam</w:t>
            </w:r>
          </w:p>
        </w:tc>
      </w:tr>
      <w:tr>
        <w:trPr/>
        <w:tc>
          <w:tcPr>
            <w:tcW w:w="29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KVKK ihlali / veri sızıntısı</w:t>
            </w:r>
          </w:p>
        </w:tc>
        <w:tc>
          <w:tcPr>
            <w:tcW w:w="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Kritik</w:t>
            </w:r>
          </w:p>
        </w:tc>
        <w:tc>
          <w:tcPr>
            <w:tcW w:w="5227"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Self-host tarama, şifreleme, RLS, denetim izi, veri yerelleştirme</w:t>
            </w:r>
          </w:p>
        </w:tc>
      </w:tr>
      <w:tr>
        <w:trPr/>
        <w:tc>
          <w:tcPr>
            <w:tcW w:w="29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Yanlış pozitif/negatif (doğruluk)</w:t>
            </w:r>
          </w:p>
        </w:tc>
        <w:tc>
          <w:tcPr>
            <w:tcW w:w="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Yüksek</w:t>
            </w:r>
          </w:p>
        </w:tc>
        <w:tc>
          <w:tcPr>
            <w:tcW w:w="5227"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Katmanlı eşleştirme, insan onayı, geri bildirim döngüsü, ölçüm/izleme</w:t>
            </w:r>
          </w:p>
        </w:tc>
      </w:tr>
      <w:tr>
        <w:trPr/>
        <w:tc>
          <w:tcPr>
            <w:tcW w:w="29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Sorumluluk / hatalı karar iddiası</w:t>
            </w:r>
          </w:p>
        </w:tc>
        <w:tc>
          <w:tcPr>
            <w:tcW w:w="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Yüksek</w:t>
            </w:r>
          </w:p>
        </w:tc>
        <w:tc>
          <w:tcPr>
            <w:tcW w:w="5227"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Karar-destek konumlandırma; sözleşme; kaynak izli şeffaflık</w:t>
            </w:r>
          </w:p>
        </w:tc>
      </w:tr>
      <w:tr>
        <w:trPr/>
        <w:tc>
          <w:tcPr>
            <w:tcW w:w="29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Tek geliştirici operasyon yükü</w:t>
            </w:r>
          </w:p>
        </w:tc>
        <w:tc>
          <w:tcPr>
            <w:tcW w:w="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Orta</w:t>
            </w:r>
          </w:p>
        </w:tc>
        <w:tc>
          <w:tcPr>
            <w:tcW w:w="5227"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Yığın yeniden kullanımı, az servis, otomasyon, sade dağıtım</w:t>
            </w:r>
          </w:p>
        </w:tc>
      </w:tr>
      <w:tr>
        <w:trPr/>
        <w:tc>
          <w:tcPr>
            <w:tcW w:w="29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Rakip fiyat baskısı</w:t>
            </w:r>
          </w:p>
        </w:tc>
        <w:tc>
          <w:tcPr>
            <w:tcW w:w="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Orta</w:t>
            </w:r>
          </w:p>
        </w:tc>
        <w:tc>
          <w:tcPr>
            <w:tcW w:w="5227"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Yerel moat (MERSIS+ŞİB+Türkçe eşleştirme) ve KOBİ dostu fiyat</w:t>
            </w:r>
          </w:p>
        </w:tc>
      </w:tr>
    </w:tbl>
    <w:p>
      <w:pPr>
        <w:pStyle w:val="Normal"/>
        <w:rPr/>
      </w:pPr>
      <w:r>
        <w:rPr/>
      </w:r>
      <w:r>
        <w:br w:type="page"/>
      </w:r>
    </w:p>
    <w:p>
      <w:pPr>
        <w:pStyle w:val="Heading1"/>
        <w:spacing w:before="0" w:after="160"/>
        <w:rPr/>
      </w:pPr>
      <w:bookmarkStart w:id="47" w:name="__RefHeading___Toc960_3654386526"/>
      <w:bookmarkEnd w:id="47"/>
      <w:r>
        <w:rPr>
          <w:b/>
          <w:bCs/>
          <w:color w:val="1E293B"/>
          <w:sz w:val="30"/>
          <w:szCs w:val="30"/>
        </w:rPr>
        <w:t>12. Monetizasyon ve Fiyatlandırma Modeli</w:t>
      </w:r>
    </w:p>
    <w:p>
      <w:pPr>
        <w:pStyle w:val="Normal"/>
        <w:spacing w:lineRule="exact" w:line="276" w:before="0" w:after="120"/>
        <w:jc w:val="both"/>
        <w:rPr/>
      </w:pPr>
      <w:r>
        <w:rPr>
          <w:color w:val="1F2937"/>
          <w:sz w:val="21"/>
          <w:szCs w:val="21"/>
        </w:rPr>
        <w:t>Gelir üç bileşenli tasarlanır: taban abonelik (platform erişimi + dahil sorgu kotası), aşım sorgu (kullandıkça-öde) ve sürekli izleme eklentisi (izlenen varlık başına aylık). Bu yapı hem küçük ofisin öngörülebilir bütçesine hem de yüksek hacimli fintech’in kullanım bazlı modeline uyar.</w:t>
      </w:r>
    </w:p>
    <w:tbl>
      <w:tblPr>
        <w:tblW w:w="9026" w:type="dxa"/>
        <w:jc w:val="left"/>
        <w:tblInd w:w="0" w:type="dxa"/>
        <w:tblLayout w:type="fixed"/>
        <w:tblCellMar>
          <w:top w:w="80" w:type="dxa"/>
          <w:left w:w="100" w:type="dxa"/>
          <w:bottom w:w="80" w:type="dxa"/>
          <w:right w:w="100" w:type="dxa"/>
        </w:tblCellMar>
      </w:tblPr>
      <w:tblGrid>
        <w:gridCol w:w="1899"/>
        <w:gridCol w:w="3200"/>
        <w:gridCol w:w="3927"/>
      </w:tblGrid>
      <w:tr>
        <w:trPr>
          <w:tblHeader w:val="true"/>
        </w:trPr>
        <w:tc>
          <w:tcPr>
            <w:tcW w:w="1899"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Katman</w:t>
            </w:r>
          </w:p>
        </w:tc>
        <w:tc>
          <w:tcPr>
            <w:tcW w:w="3200"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Hedef</w:t>
            </w:r>
          </w:p>
        </w:tc>
        <w:tc>
          <w:tcPr>
            <w:tcW w:w="3927" w:type="dxa"/>
            <w:tcBorders>
              <w:top w:val="single" w:sz="2" w:space="0" w:color="CBD5E1"/>
              <w:left w:val="single" w:sz="2" w:space="0" w:color="CBD5E1"/>
              <w:bottom w:val="single" w:sz="2" w:space="0" w:color="CBD5E1"/>
              <w:right w:val="single" w:sz="2" w:space="0" w:color="CBD5E1"/>
            </w:tcBorders>
            <w:shd w:fill="1E3A5F" w:val="clear"/>
          </w:tcPr>
          <w:p>
            <w:pPr>
              <w:pStyle w:val="Normal"/>
              <w:rPr/>
            </w:pPr>
            <w:r>
              <w:rPr>
                <w:b/>
                <w:bCs/>
                <w:color w:val="FFFFFF"/>
                <w:sz w:val="19"/>
                <w:szCs w:val="19"/>
              </w:rPr>
              <w:t>Model</w:t>
            </w:r>
          </w:p>
        </w:tc>
      </w:tr>
      <w:tr>
        <w:trPr/>
        <w:tc>
          <w:tcPr>
            <w:tcW w:w="1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Başlangıç</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Küçük SMMM/YMM ofisi</w:t>
            </w:r>
          </w:p>
        </w:tc>
        <w:tc>
          <w:tcPr>
            <w:tcW w:w="3927"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Düşük taban abonelik + sınırlı aylık sorgu</w:t>
            </w:r>
          </w:p>
        </w:tc>
      </w:tr>
      <w:tr>
        <w:trPr/>
        <w:tc>
          <w:tcPr>
            <w:tcW w:w="1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Profesyonel</w:t>
            </w:r>
          </w:p>
        </w:tc>
        <w:tc>
          <w:tcPr>
            <w:tcW w:w="32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Aktif denetim/mali müşavir ofisi</w:t>
            </w:r>
          </w:p>
        </w:tc>
        <w:tc>
          <w:tcPr>
            <w:tcW w:w="3927"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Orta abonelik + yüksek kota + izleme</w:t>
            </w:r>
          </w:p>
        </w:tc>
      </w:tr>
      <w:tr>
        <w:trPr/>
        <w:tc>
          <w:tcPr>
            <w:tcW w:w="1899"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İş (API)</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Fintech / yüksek hacim</w:t>
            </w:r>
          </w:p>
        </w:tc>
        <w:tc>
          <w:tcPr>
            <w:tcW w:w="3927" w:type="dxa"/>
            <w:tcBorders>
              <w:top w:val="single" w:sz="2" w:space="0" w:color="CBD5E1"/>
              <w:left w:val="single" w:sz="2" w:space="0" w:color="CBD5E1"/>
              <w:bottom w:val="single" w:sz="2" w:space="0" w:color="CBD5E1"/>
              <w:right w:val="single" w:sz="2" w:space="0" w:color="CBD5E1"/>
            </w:tcBorders>
            <w:shd w:fill="F1F5F9" w:val="clear"/>
            <w:tcMar>
              <w:top w:w="70" w:type="dxa"/>
              <w:bottom w:w="70" w:type="dxa"/>
            </w:tcMar>
          </w:tcPr>
          <w:p>
            <w:pPr>
              <w:pStyle w:val="Normal"/>
              <w:spacing w:before="0" w:after="20"/>
              <w:rPr/>
            </w:pPr>
            <w:r>
              <w:rPr>
                <w:color w:val="1F2937"/>
                <w:sz w:val="18"/>
                <w:szCs w:val="18"/>
              </w:rPr>
              <w:t>API + kullandıkça-öde + webhook + SLA</w:t>
            </w:r>
          </w:p>
        </w:tc>
      </w:tr>
      <w:tr>
        <w:trPr/>
        <w:tc>
          <w:tcPr>
            <w:tcW w:w="1899"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White-label</w:t>
            </w:r>
          </w:p>
        </w:tc>
        <w:tc>
          <w:tcPr>
            <w:tcW w:w="3200"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MSSP / oda / yazılım ortağı</w:t>
            </w:r>
          </w:p>
        </w:tc>
        <w:tc>
          <w:tcPr>
            <w:tcW w:w="3927" w:type="dxa"/>
            <w:tcBorders>
              <w:top w:val="single" w:sz="2" w:space="0" w:color="CBD5E1"/>
              <w:left w:val="single" w:sz="2" w:space="0" w:color="CBD5E1"/>
              <w:bottom w:val="single" w:sz="2" w:space="0" w:color="CBD5E1"/>
              <w:right w:val="single" w:sz="2" w:space="0" w:color="CBD5E1"/>
            </w:tcBorders>
            <w:shd w:fill="FFFFFF" w:val="clear"/>
            <w:tcMar>
              <w:top w:w="70" w:type="dxa"/>
              <w:bottom w:w="70" w:type="dxa"/>
            </w:tcMar>
          </w:tcPr>
          <w:p>
            <w:pPr>
              <w:pStyle w:val="Normal"/>
              <w:spacing w:before="0" w:after="20"/>
              <w:rPr/>
            </w:pPr>
            <w:r>
              <w:rPr>
                <w:color w:val="1F2937"/>
                <w:sz w:val="18"/>
                <w:szCs w:val="18"/>
              </w:rPr>
              <w:t>Platform lisansı + alt-kullanıcı bazlı</w:t>
            </w:r>
          </w:p>
        </w:tc>
      </w:tr>
    </w:tbl>
    <w:p>
      <w:pPr>
        <w:pStyle w:val="Normal"/>
        <w:spacing w:before="0" w:after="80"/>
        <w:rPr/>
      </w:pPr>
      <w:r>
        <w:rPr/>
      </w:r>
    </w:p>
    <w:p>
      <w:pPr>
        <w:pStyle w:val="Normal"/>
        <w:spacing w:lineRule="exact" w:line="276" w:before="0" w:after="120"/>
        <w:jc w:val="both"/>
        <w:rPr/>
      </w:pPr>
      <w:r>
        <w:rPr>
          <w:color w:val="1F2937"/>
          <w:sz w:val="21"/>
          <w:szCs w:val="21"/>
        </w:rPr>
        <w:t>Fiyat seviyeleri Faz 0 keşif görüşmelerinde, ofislerin bugün manuel sürece harcadığı zaman/maliyet referans alınarak kalibre edilir. Ürünün fiyat çıpası “kaç TL” değil, “kaç saat manuel iş ve ne kadar denetim riski ortadan kalkıyor”dur.</w:t>
      </w:r>
    </w:p>
    <w:p>
      <w:pPr>
        <w:pStyle w:val="Normal"/>
        <w:rPr/>
      </w:pPr>
      <w:r>
        <w:rPr/>
      </w:r>
      <w:r>
        <w:br w:type="page"/>
      </w:r>
    </w:p>
    <w:p>
      <w:pPr>
        <w:pStyle w:val="Heading1"/>
        <w:spacing w:before="0" w:after="160"/>
        <w:rPr/>
      </w:pPr>
      <w:bookmarkStart w:id="48" w:name="__RefHeading___Toc962_3654386526"/>
      <w:bookmarkEnd w:id="48"/>
      <w:r>
        <w:rPr>
          <w:b/>
          <w:bCs/>
          <w:color w:val="1E293B"/>
          <w:sz w:val="30"/>
          <w:szCs w:val="30"/>
        </w:rPr>
        <w:t>13. Başarı Metrikleri (KPI)</w:t>
      </w:r>
    </w:p>
    <w:p>
      <w:pPr>
        <w:pStyle w:val="ListParagraph"/>
        <w:numPr>
          <w:ilvl w:val="0"/>
          <w:numId w:val="1"/>
        </w:numPr>
        <w:spacing w:lineRule="exact" w:line="270" w:before="0" w:after="70"/>
        <w:jc w:val="both"/>
        <w:rPr/>
      </w:pPr>
      <w:r>
        <w:rPr>
          <w:b/>
          <w:bCs/>
          <w:color w:val="1E293B"/>
          <w:sz w:val="21"/>
          <w:szCs w:val="21"/>
        </w:rPr>
        <w:t xml:space="preserve">Ürün doğruluğu: </w:t>
      </w:r>
      <w:r>
        <w:rPr>
          <w:color w:val="1F2937"/>
          <w:sz w:val="21"/>
          <w:szCs w:val="21"/>
        </w:rPr>
        <w:t>yanlış pozitif oranı, eşleşme kesinlik/duyarlılık (precision/recall), insan onayı gereken oran.</w:t>
      </w:r>
    </w:p>
    <w:p>
      <w:pPr>
        <w:pStyle w:val="ListParagraph"/>
        <w:numPr>
          <w:ilvl w:val="0"/>
          <w:numId w:val="1"/>
        </w:numPr>
        <w:spacing w:lineRule="exact" w:line="270" w:before="0" w:after="70"/>
        <w:jc w:val="both"/>
        <w:rPr/>
      </w:pPr>
      <w:r>
        <w:rPr>
          <w:b/>
          <w:bCs/>
          <w:color w:val="1E293B"/>
          <w:sz w:val="21"/>
          <w:szCs w:val="21"/>
        </w:rPr>
        <w:t xml:space="preserve">Değer: </w:t>
      </w:r>
      <w:r>
        <w:rPr>
          <w:color w:val="1F2937"/>
          <w:sz w:val="21"/>
          <w:szCs w:val="21"/>
        </w:rPr>
        <w:t>dosya başına ortalama işlem süresi (hedef: saatlerden dakikalara), kullanıcı başına taranan kurum sayısı.</w:t>
      </w:r>
    </w:p>
    <w:p>
      <w:pPr>
        <w:pStyle w:val="ListParagraph"/>
        <w:numPr>
          <w:ilvl w:val="0"/>
          <w:numId w:val="1"/>
        </w:numPr>
        <w:spacing w:lineRule="exact" w:line="270" w:before="0" w:after="70"/>
        <w:jc w:val="both"/>
        <w:rPr/>
      </w:pPr>
      <w:r>
        <w:rPr>
          <w:b/>
          <w:bCs/>
          <w:color w:val="1E293B"/>
          <w:sz w:val="21"/>
          <w:szCs w:val="21"/>
        </w:rPr>
        <w:t xml:space="preserve">Ticari: </w:t>
      </w:r>
      <w:r>
        <w:rPr>
          <w:color w:val="1F2937"/>
          <w:sz w:val="21"/>
          <w:szCs w:val="21"/>
        </w:rPr>
        <w:t>pilottan ödemeye dönüşüm, aylık yinelenen gelir (MRR), churn, izleme eklentisi benimseme oranı.</w:t>
      </w:r>
    </w:p>
    <w:p>
      <w:pPr>
        <w:pStyle w:val="ListParagraph"/>
        <w:numPr>
          <w:ilvl w:val="0"/>
          <w:numId w:val="1"/>
        </w:numPr>
        <w:spacing w:lineRule="exact" w:line="270" w:before="0" w:after="70"/>
        <w:jc w:val="both"/>
        <w:rPr/>
      </w:pPr>
      <w:r>
        <w:rPr>
          <w:b/>
          <w:bCs/>
          <w:color w:val="1E293B"/>
          <w:sz w:val="21"/>
          <w:szCs w:val="21"/>
        </w:rPr>
        <w:t xml:space="preserve">Operasyon: </w:t>
      </w:r>
      <w:r>
        <w:rPr>
          <w:color w:val="1F2937"/>
          <w:sz w:val="21"/>
          <w:szCs w:val="21"/>
        </w:rPr>
        <w:t>tarama işi başarı oranı, veri seti tazelik gecikmesi, uyarı doğruluğu.</w:t>
      </w:r>
    </w:p>
    <w:p>
      <w:pPr>
        <w:pStyle w:val="Normal"/>
        <w:rPr/>
      </w:pPr>
      <w:r>
        <w:rPr/>
      </w:r>
      <w:r>
        <w:br w:type="page"/>
      </w:r>
    </w:p>
    <w:p>
      <w:pPr>
        <w:pStyle w:val="Heading1"/>
        <w:spacing w:before="0" w:after="160"/>
        <w:rPr/>
      </w:pPr>
      <w:bookmarkStart w:id="49" w:name="__RefHeading___Toc964_3654386526"/>
      <w:bookmarkEnd w:id="49"/>
      <w:r>
        <w:rPr>
          <w:b/>
          <w:bCs/>
          <w:color w:val="1E293B"/>
          <w:sz w:val="30"/>
          <w:szCs w:val="30"/>
        </w:rPr>
        <w:t>14. Sonuç ve Sonraki Adımlar</w:t>
      </w:r>
    </w:p>
    <w:p>
      <w:pPr>
        <w:pStyle w:val="Normal"/>
        <w:spacing w:lineRule="exact" w:line="276" w:before="0" w:after="120"/>
        <w:jc w:val="both"/>
        <w:rPr/>
      </w:pPr>
      <w:r>
        <w:rPr>
          <w:color w:val="1F2937"/>
          <w:sz w:val="21"/>
          <w:szCs w:val="21"/>
        </w:rPr>
        <w:t>AEGIS, güçlü bir regülasyon zemini, geniş ve az hizmet almış bir yerel yükümlü kitlesi ve mevcut mimari yatırımının doğrudan yeniden kullanımı sayesinde düşük teknik riskle başlatılabilecek bir üründür. En kritik başarı faktörü teknoloji değil — o büyük ölçüde hazır — varlık eşleştirme doğruluğu ve yerel veri erişiminin sağlamlığıdır. Bu iki konu Faz 0’da bilinçli olarak öne çekilmiştir.</w:t>
      </w:r>
    </w:p>
    <w:p>
      <w:pPr>
        <w:pStyle w:val="Heading3"/>
        <w:spacing w:before="180" w:after="90"/>
        <w:rPr/>
      </w:pPr>
      <w:bookmarkStart w:id="50" w:name="__RefHeading___Toc966_3654386526"/>
      <w:bookmarkEnd w:id="50"/>
      <w:r>
        <w:rPr>
          <w:b/>
          <w:bCs/>
          <w:color w:val="1E293B"/>
          <w:sz w:val="22"/>
          <w:szCs w:val="22"/>
        </w:rPr>
        <w:t>Hemen atılacak adımlar</w:t>
      </w:r>
    </w:p>
    <w:p>
      <w:pPr>
        <w:pStyle w:val="ListParagraph"/>
        <w:numPr>
          <w:ilvl w:val="0"/>
          <w:numId w:val="2"/>
        </w:numPr>
        <w:spacing w:lineRule="exact" w:line="270" w:before="0" w:after="70"/>
        <w:jc w:val="both"/>
        <w:rPr/>
      </w:pPr>
      <w:r>
        <w:rPr>
          <w:color w:val="1F2937"/>
          <w:sz w:val="21"/>
          <w:szCs w:val="21"/>
        </w:rPr>
        <w:t>Faz 0 keşif görüşmelerini başlat (SMMM/YMM); acıyı ve fiyatı doğrula.</w:t>
      </w:r>
    </w:p>
    <w:p>
      <w:pPr>
        <w:pStyle w:val="ListParagraph"/>
        <w:numPr>
          <w:ilvl w:val="0"/>
          <w:numId w:val="2"/>
        </w:numPr>
        <w:spacing w:lineRule="exact" w:line="270" w:before="0" w:after="70"/>
        <w:jc w:val="both"/>
        <w:rPr/>
      </w:pPr>
      <w:r>
        <w:rPr>
          <w:color w:val="1F2937"/>
          <w:sz w:val="21"/>
          <w:szCs w:val="21"/>
        </w:rPr>
        <w:t>OpenSanctions self-host + ‘yente’ ile teknik ispat (PoC) ve lisans fiyatlaması.</w:t>
      </w:r>
    </w:p>
    <w:p>
      <w:pPr>
        <w:pStyle w:val="ListParagraph"/>
        <w:numPr>
          <w:ilvl w:val="0"/>
          <w:numId w:val="2"/>
        </w:numPr>
        <w:spacing w:lineRule="exact" w:line="270" w:before="0" w:after="70"/>
        <w:jc w:val="both"/>
        <w:rPr/>
      </w:pPr>
      <w:r>
        <w:rPr>
          <w:color w:val="1F2937"/>
          <w:sz w:val="21"/>
          <w:szCs w:val="21"/>
        </w:rPr>
        <w:t>MERSIS/Ticaret Sicil erişim yöntemi ve yasal kullanım koşullarının netleştirilmesi.</w:t>
      </w:r>
    </w:p>
    <w:p>
      <w:pPr>
        <w:pStyle w:val="ListParagraph"/>
        <w:numPr>
          <w:ilvl w:val="0"/>
          <w:numId w:val="2"/>
        </w:numPr>
        <w:spacing w:lineRule="exact" w:line="270" w:before="0" w:after="70"/>
        <w:jc w:val="both"/>
        <w:rPr/>
      </w:pPr>
      <w:r>
        <w:rPr>
          <w:color w:val="1F2937"/>
          <w:sz w:val="21"/>
          <w:szCs w:val="21"/>
        </w:rPr>
        <w:t>Ürün adı/marka ve ticari marka kontrolü; kesin isim kararı.</w:t>
      </w:r>
    </w:p>
    <w:p>
      <w:pPr>
        <w:pStyle w:val="ListParagraph"/>
        <w:numPr>
          <w:ilvl w:val="0"/>
          <w:numId w:val="2"/>
        </w:numPr>
        <w:spacing w:lineRule="exact" w:line="270" w:before="0" w:after="70"/>
        <w:jc w:val="both"/>
        <w:rPr/>
      </w:pPr>
      <w:r>
        <w:rPr>
          <w:color w:val="1F2937"/>
          <w:sz w:val="21"/>
          <w:szCs w:val="21"/>
        </w:rPr>
        <w:t>Faz 1 MVP için TenderIQ iskeletinden çok kiracılı temelin klonlanması.</w:t>
      </w:r>
    </w:p>
    <w:p>
      <w:pPr>
        <w:pStyle w:val="Normal"/>
        <w:spacing w:before="0" w:after="80"/>
        <w:rPr/>
      </w:pPr>
      <w:r>
        <w:rPr/>
      </w:r>
    </w:p>
    <w:p>
      <w:pPr>
        <w:pStyle w:val="Heading1"/>
        <w:spacing w:before="320" w:after="160"/>
        <w:rPr/>
      </w:pPr>
      <w:bookmarkStart w:id="51" w:name="__RefHeading___Toc968_3654386526"/>
      <w:bookmarkEnd w:id="51"/>
      <w:r>
        <w:rPr>
          <w:b/>
          <w:bCs/>
          <w:color w:val="1E293B"/>
          <w:sz w:val="30"/>
          <w:szCs w:val="30"/>
        </w:rPr>
        <w:t>Ek A — Terimler Sözlüğü</w:t>
      </w:r>
    </w:p>
    <w:p>
      <w:pPr>
        <w:pStyle w:val="Normal"/>
        <w:spacing w:before="0" w:after="80"/>
        <w:rPr/>
      </w:pPr>
      <w:r>
        <w:rPr>
          <w:b/>
          <w:bCs/>
          <w:color w:val="1E293B"/>
          <w:sz w:val="21"/>
          <w:szCs w:val="21"/>
        </w:rPr>
        <w:t xml:space="preserve">KYB — </w:t>
      </w:r>
      <w:r>
        <w:rPr>
          <w:color w:val="1F2937"/>
          <w:sz w:val="20"/>
          <w:szCs w:val="20"/>
        </w:rPr>
        <w:t>Know Your Business — işletmenin kimliğini/sahipliğini/meşruiyetini doğrulama.</w:t>
      </w:r>
    </w:p>
    <w:p>
      <w:pPr>
        <w:pStyle w:val="Normal"/>
        <w:spacing w:before="0" w:after="80"/>
        <w:rPr/>
      </w:pPr>
      <w:r>
        <w:rPr>
          <w:b/>
          <w:bCs/>
          <w:color w:val="1E293B"/>
          <w:sz w:val="21"/>
          <w:szCs w:val="21"/>
        </w:rPr>
        <w:t xml:space="preserve">KYC — </w:t>
      </w:r>
      <w:r>
        <w:rPr>
          <w:color w:val="1F2937"/>
          <w:sz w:val="20"/>
          <w:szCs w:val="20"/>
        </w:rPr>
        <w:t>Know Your Customer — bireyin kimliğini doğrulama.</w:t>
      </w:r>
    </w:p>
    <w:p>
      <w:pPr>
        <w:pStyle w:val="Normal"/>
        <w:spacing w:before="0" w:after="80"/>
        <w:rPr/>
      </w:pPr>
      <w:r>
        <w:rPr>
          <w:b/>
          <w:bCs/>
          <w:color w:val="1E293B"/>
          <w:sz w:val="21"/>
          <w:szCs w:val="21"/>
        </w:rPr>
        <w:t xml:space="preserve">UBO — </w:t>
      </w:r>
      <w:r>
        <w:rPr>
          <w:color w:val="1F2937"/>
          <w:sz w:val="20"/>
          <w:szCs w:val="20"/>
        </w:rPr>
        <w:t>Ultimate Beneficial Owner — nihai gerçek faydalanıcı (genelde %25+ sahiplik/kontrol).</w:t>
      </w:r>
    </w:p>
    <w:p>
      <w:pPr>
        <w:pStyle w:val="Normal"/>
        <w:spacing w:before="0" w:after="80"/>
        <w:rPr/>
      </w:pPr>
      <w:r>
        <w:rPr>
          <w:b/>
          <w:bCs/>
          <w:color w:val="1E293B"/>
          <w:sz w:val="21"/>
          <w:szCs w:val="21"/>
        </w:rPr>
        <w:t xml:space="preserve">PEP — </w:t>
      </w:r>
      <w:r>
        <w:rPr>
          <w:color w:val="1F2937"/>
          <w:sz w:val="20"/>
          <w:szCs w:val="20"/>
        </w:rPr>
        <w:t>Politically Exposed Person — siyasi nüfuz sahibi kişi; artırılmış inceleme gerektirir.</w:t>
      </w:r>
    </w:p>
    <w:p>
      <w:pPr>
        <w:pStyle w:val="Normal"/>
        <w:spacing w:before="0" w:after="80"/>
        <w:rPr/>
      </w:pPr>
      <w:r>
        <w:rPr>
          <w:b/>
          <w:bCs/>
          <w:color w:val="1E293B"/>
          <w:sz w:val="21"/>
          <w:szCs w:val="21"/>
        </w:rPr>
        <w:t xml:space="preserve">EDD — </w:t>
      </w:r>
      <w:r>
        <w:rPr>
          <w:color w:val="1F2937"/>
          <w:sz w:val="20"/>
          <w:szCs w:val="20"/>
        </w:rPr>
        <w:t>Enhanced Due Diligence — yüksek riskli durumlarda artırılmış inceleme.</w:t>
      </w:r>
    </w:p>
    <w:p>
      <w:pPr>
        <w:pStyle w:val="Normal"/>
        <w:spacing w:before="0" w:after="80"/>
        <w:rPr/>
      </w:pPr>
      <w:r>
        <w:rPr>
          <w:b/>
          <w:bCs/>
          <w:color w:val="1E293B"/>
          <w:sz w:val="21"/>
          <w:szCs w:val="21"/>
        </w:rPr>
        <w:t xml:space="preserve">ŞİB — </w:t>
      </w:r>
      <w:r>
        <w:rPr>
          <w:color w:val="1F2937"/>
          <w:sz w:val="20"/>
          <w:szCs w:val="20"/>
        </w:rPr>
        <w:t>Şüpheli İşlem Bildirimi — MASAK’a yapılan yasal bildirim.</w:t>
      </w:r>
    </w:p>
    <w:p>
      <w:pPr>
        <w:pStyle w:val="Normal"/>
        <w:spacing w:before="0" w:after="80"/>
        <w:rPr/>
      </w:pPr>
      <w:r>
        <w:rPr>
          <w:b/>
          <w:bCs/>
          <w:color w:val="1E293B"/>
          <w:sz w:val="21"/>
          <w:szCs w:val="21"/>
        </w:rPr>
        <w:t xml:space="preserve">MASAK — </w:t>
      </w:r>
      <w:r>
        <w:rPr>
          <w:color w:val="1F2937"/>
          <w:sz w:val="20"/>
          <w:szCs w:val="20"/>
        </w:rPr>
        <w:t>Mali Suçları Araştırma Kurulu — Türkiye’nin mali istihbarat birimi.</w:t>
      </w:r>
    </w:p>
    <w:p>
      <w:pPr>
        <w:pStyle w:val="Normal"/>
        <w:spacing w:before="0" w:after="80"/>
        <w:rPr/>
      </w:pPr>
      <w:r>
        <w:rPr>
          <w:b/>
          <w:bCs/>
          <w:color w:val="1E293B"/>
          <w:sz w:val="21"/>
          <w:szCs w:val="21"/>
        </w:rPr>
        <w:t xml:space="preserve">RLS — </w:t>
      </w:r>
      <w:r>
        <w:rPr>
          <w:color w:val="1F2937"/>
          <w:sz w:val="20"/>
          <w:szCs w:val="20"/>
        </w:rPr>
        <w:t>Row-Level Security — PostgreSQL satır düzeyi erişim izolasyonu.</w:t>
      </w:r>
    </w:p>
    <w:p>
      <w:pPr>
        <w:pStyle w:val="Normal"/>
        <w:spacing w:before="0" w:after="80"/>
        <w:rPr/>
      </w:pPr>
      <w:r>
        <w:rPr>
          <w:b/>
          <w:bCs/>
          <w:color w:val="1E293B"/>
          <w:sz w:val="21"/>
          <w:szCs w:val="21"/>
        </w:rPr>
        <w:t xml:space="preserve">Entity resolution — </w:t>
      </w:r>
      <w:r>
        <w:rPr>
          <w:color w:val="1F2937"/>
          <w:sz w:val="20"/>
          <w:szCs w:val="20"/>
        </w:rPr>
        <w:t>Farklı kaynaklardaki kayıtları tek kanonik varlığa bağlama.</w:t>
      </w:r>
    </w:p>
    <w:p>
      <w:pPr>
        <w:pStyle w:val="Normal"/>
        <w:spacing w:before="0" w:after="80"/>
        <w:rPr/>
      </w:pPr>
      <w:r>
        <w:rPr>
          <w:b/>
          <w:bCs/>
          <w:color w:val="1E293B"/>
          <w:sz w:val="21"/>
          <w:szCs w:val="21"/>
        </w:rPr>
        <w:t xml:space="preserve">Adverse media — </w:t>
      </w:r>
      <w:r>
        <w:rPr>
          <w:color w:val="1F2937"/>
          <w:sz w:val="20"/>
          <w:szCs w:val="20"/>
        </w:rPr>
        <w:t>Olumsuz medya — kişi/kurum hakkında olumsuz haber/soruşturma taraması.</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2E8F0"/>
      </w:pBdr>
      <w:jc w:val="center"/>
      <w:rPr/>
    </w:pPr>
    <w:r>
      <w:rPr>
        <w:color w:val="94A3B8"/>
        <w:sz w:val="15"/>
        <w:szCs w:val="15"/>
      </w:rPr>
      <w:t xml:space="preserve">Gizli  ·  Sayfa </w:t>
    </w:r>
    <w:r>
      <w:rPr/>
      <w:fldChar w:fldCharType="begin"/>
    </w:r>
    <w:r>
      <w:rPr/>
      <w:instrText xml:space="preserve"> PAGE </w:instrText>
    </w:r>
    <w:r>
      <w:rPr/>
      <w:fldChar w:fldCharType="separate"/>
    </w:r>
    <w:r>
      <w:rPr/>
      <w:t>20</w:t>
    </w:r>
    <w:r>
      <w:rPr/>
      <w:fldChar w:fldCharType="end"/>
    </w:r>
    <w:r>
      <w:rPr>
        <w:color w:val="94A3B8"/>
        <w:sz w:val="15"/>
        <w:szCs w:val="15"/>
      </w:rPr>
      <w:t xml:space="preserve"> / </w:t>
    </w:r>
    <w:r>
      <w:rPr/>
      <w:fldChar w:fldCharType="begin"/>
    </w:r>
    <w:r>
      <w:rPr/>
      <w:instrText xml:space="preserve"> NUMPAGES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2E8F0"/>
      </w:pBdr>
      <w:jc w:val="center"/>
      <w:rPr/>
    </w:pPr>
    <w:r>
      <w:rPr>
        <w:color w:val="94A3B8"/>
        <w:sz w:val="15"/>
        <w:szCs w:val="15"/>
      </w:rPr>
      <w:t xml:space="preserve">Gizli  ·  Sayfa </w:t>
    </w:r>
    <w:r>
      <w:rPr/>
      <w:fldChar w:fldCharType="begin"/>
    </w:r>
    <w:r>
      <w:rPr/>
      <w:instrText xml:space="preserve"> PAGE </w:instrText>
    </w:r>
    <w:r>
      <w:rPr/>
      <w:fldChar w:fldCharType="separate"/>
    </w:r>
    <w:r>
      <w:rPr/>
      <w:t>20</w:t>
    </w:r>
    <w:r>
      <w:rPr/>
      <w:fldChar w:fldCharType="end"/>
    </w:r>
    <w:r>
      <w:rPr>
        <w:color w:val="94A3B8"/>
        <w:sz w:val="15"/>
        <w:szCs w:val="15"/>
      </w:rPr>
      <w:t xml:space="preserve"> / </w:t>
    </w:r>
    <w:r>
      <w:rPr/>
      <w:fldChar w:fldCharType="begin"/>
    </w:r>
    <w:r>
      <w:rPr/>
      <w:instrText xml:space="preserve"> NUMPAGES </w:instrText>
    </w:r>
    <w:r>
      <w:rPr/>
      <w:fldChar w:fldCharType="separate"/>
    </w:r>
    <w:r>
      <w:rPr/>
      <w:t>20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2E8F0"/>
      </w:pBdr>
      <w:jc w:val="right"/>
      <w:rPr/>
    </w:pPr>
    <w:r>
      <w:rPr>
        <w:color w:val="94A3B8"/>
        <w:sz w:val="15"/>
        <w:szCs w:val="15"/>
      </w:rPr>
      <w:t>AEGIS  ·  KYB &amp; Due Diligence Proje Planı</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2E8F0"/>
      </w:pBdr>
      <w:jc w:val="right"/>
      <w:rPr/>
    </w:pPr>
    <w:r>
      <w:rPr>
        <w:color w:val="94A3B8"/>
        <w:sz w:val="15"/>
        <w:szCs w:val="15"/>
      </w:rPr>
      <w:t>AEGIS  ·  KYB &amp; Due Diligence Proje Planı</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20"/>
      </w:pPr>
      <w:rPr>
        <w:rFonts w:ascii="Symbol" w:hAnsi="Symbol" w:cs="Symbol" w:hint="default"/>
        <w:color w:val="0E7490"/>
      </w:rPr>
    </w:lvl>
    <w:lvl w:ilvl="1">
      <w:start w:val="1"/>
      <w:numFmt w:val="bullet"/>
      <w:lvlText w:val="◦"/>
      <w:lvlJc w:val="left"/>
      <w:pPr>
        <w:tabs>
          <w:tab w:val="num" w:pos="0"/>
        </w:tabs>
        <w:ind w:left="720" w:hanging="22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360" w:hanging="260"/>
      </w:pPr>
      <w:rPr>
        <w:b/>
        <w:bCs/>
        <w:color w:val="1E293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2937"/>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F2937"/>
      <w:kern w:val="0"/>
      <w:sz w:val="21"/>
      <w:szCs w:val="21"/>
      <w:lang w:val="en-US" w:eastAsia="zh-CN" w:bidi="hi-IN"/>
    </w:rPr>
  </w:style>
  <w:style w:type="paragraph" w:styleId="Heading1">
    <w:name w:val="Heading 1"/>
    <w:basedOn w:val="Heading"/>
    <w:qFormat/>
    <w:pPr>
      <w:spacing w:before="320" w:after="160"/>
      <w:outlineLvl w:val="0"/>
    </w:pPr>
    <w:rPr>
      <w:rFonts w:ascii="Calibri" w:hAnsi="Calibri" w:eastAsia="Calibri" w:cs="Calibri"/>
      <w:b/>
      <w:bCs/>
      <w:color w:val="1E293B"/>
      <w:sz w:val="30"/>
      <w:szCs w:val="30"/>
    </w:rPr>
  </w:style>
  <w:style w:type="paragraph" w:styleId="Heading2">
    <w:name w:val="Heading 2"/>
    <w:basedOn w:val="Heading"/>
    <w:qFormat/>
    <w:pPr>
      <w:spacing w:before="240" w:after="120"/>
      <w:outlineLvl w:val="1"/>
    </w:pPr>
    <w:rPr>
      <w:rFonts w:ascii="Calibri" w:hAnsi="Calibri" w:eastAsia="Calibri" w:cs="Calibri"/>
      <w:b/>
      <w:bCs/>
      <w:color w:val="0E7490"/>
      <w:sz w:val="25"/>
      <w:szCs w:val="25"/>
    </w:rPr>
  </w:style>
  <w:style w:type="paragraph" w:styleId="Heading3">
    <w:name w:val="Heading 3"/>
    <w:basedOn w:val="Heading"/>
    <w:qFormat/>
    <w:pPr>
      <w:spacing w:before="180" w:after="90"/>
      <w:outlineLvl w:val="2"/>
    </w:pPr>
    <w:rPr>
      <w:rFonts w:ascii="Calibri" w:hAnsi="Calibri" w:eastAsia="Calibri" w:cs="Calibri"/>
      <w:b/>
      <w:bCs/>
      <w:color w:val="1E293B"/>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F2937"/>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F2937"/>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3">
    <w:name w:val="TOC 3"/>
    <w:basedOn w:val="Index"/>
    <w:pPr>
      <w:tabs>
        <w:tab w:val="clear" w:pos="720"/>
        <w:tab w:val="right" w:pos="8459" w:leader="dot"/>
      </w:tabs>
      <w:ind w:hanging="0" w:left="567"/>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2026-07-20T16:50:02Z</dcterms:created>
  <dc:creator/>
  <dc:description/>
  <dc:language>en-US</dc:language>
  <cp:lastModifiedBy/>
  <dcterms:modified xsi:type="dcterms:W3CDTF">2026-07-20T16:51:13Z</dcterms:modified>
  <cp:revision>2</cp:revision>
  <dc:subject/>
  <dc:title/>
</cp:coreProperties>
</file>