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Exhaustive Historical Investigation: Solana (SOL) Protocol Trajectory, Causal Event Graph, and Microeconomic Dynamics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CONTEXT &amp; ENVIRONMENT LAYER (The "Era" Conditions)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State of Technology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the initial conception and mainnet development of Solana between late 2017 and early 2020, the Layer-1 (L1) blockchain ecosystem faced fundamental scaling bottlenecks. The smart contract market was overwhelmingly dominated by Ethereum, which operated under a single-threaded Ethereum Virtual Machine (EVM) constrained to an average throughput of 12 to 15 transactions per second (TPS). Network congestion during high-demand usage events repeatedly triggered severe fee spikes, making microtransactions and high-frequency trading economically unviable. Layer-2 (L2) scaling paradigms such as Optimistic Rollups and Zero-Knowledge (ZK) Rollups were still in early theoretical or development stages. Existing consensus protocols relied on un-synchronized network clocks, requiring validator nodes to exchange iterative messages across gossip networks to reach consensus on transaction ordering before state execution could occur. This introduced substantial latency, preventing the operation of real-time central limit order book (CLOB) decentralized exchanges and seamless consumer applications.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Market &amp; Macro State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period spanning 2018 through 2019 was defined by a prolonged market contraction ("Crypto Winter") following the collapse of the 2017 Initial Coin Offering (ICO) bubble. Global liquidity for early-stage digital asset projects contracted sharply, venture capital risk appetite diminished, and capital allocation shifted from public retail ICOs toward private Simple Agreements for Future Tokens (SAFTs) conducted with institutional investors. Early-stage projects were required to demonstrate concrete technological differentiation and maintain lower token valuations. By early 2020, macroeconomic liquidity began to reverse as global central banks introduced expansionary monetary policies in response to the COVID-19 pandemic, creating a favorable liquidity backdrop for newly launching smart contract platforms.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Competitor Landscape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Ethereum maintained dominant market share over application liquidity and developer mindshare. Emerging smart contract platforms—termed "Ethereum Killers"—included projects such as EOS, Cardano, Algorand, Polkadot, and Cosmos. The dominant strategic choices among these competitors focused on Delegated Proof of Stake (DPoS) with reduced validator counts, appchain structures (e.g., Polkadot parachains and Cosmos Tendermint zones), or sharded execution architectures designed to process transactions across isolated sub-chains. However, sharded and multi-chain architectures introduced transaction latency across shards and destroyed atomic composability—the ability for multiple smart contracts to interact seamlessly within a single execution block. Solana identified a distinct market gap: a monolithic, un-sharded execution environment capable of scaling transaction throughput directly with advances in underlying node hardware while preserving a unified global state.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User &amp; Hunter Behavior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early 2020, the decentralized finance (DeFi) sector was crystallizing around automated market makers (AMMs) such as Uniswap V1/V2 and lending protocols such as Compound and Aave. On-chain users prioritized trade execution speed, low transaction fees, and high capital efficiency. Simultaneously, token distribution mechanics were shifting away from open public sales toward retrospective token distributions and liquidity mining incentives. Sybil activity—where automated actors generated thousands of unique wallet addresses to farm testnet allocations and early protocol interactions—was rapidly intensifying, forcing launching networks to develop stricter economic commitment constraints and hardware-bound distribution mechanisms.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 Factor</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Ecosystem Baseline (2017–2020)</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 Architectural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Single-threaded EVM sequential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Sealevel parallel smart contract execution engine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 Organization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Sharded execution or appchain fragmentation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Monolithic, unified global state preserving atomic composability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Consensus Timing</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Iterative multi-node messaging over gossip networks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of History (PoH) cryptographic clock pre-ordering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Capital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 contraction; shift to selective institutional SAFTs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Multi-stage institutional SAFT sales and Dutch Auction</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PROJECT ARCHETYPE &amp; CORE VALUE PROPOSITION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Innovation Classification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Solana represents a paradigm shift in state-machine synchronization and parallel execution. Rather than modifying economic consensus rules or sharding state to achieve scalability, Solana introduced an architectural primitive known as Proof of History (PoH)—a continuous, cryptographically verifiable sequence of events that solves the problem of decentralized network time-synchronization without relying on centralized time servers.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Architecture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Solana technical protocol relies on eight foundational innovations designed to maximize hardware efficiency, minimize software stack overhead, and saturate available network bandwidth.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of History (PoH) is a continuous SHA-256 Verifiable Delay Function (VDF) running locally on block leader nodes. PoH timestamps transactions sequentially before they are broadcast to the network, establishing a deterministic, immutable temporal ordering. This mechanism allows validator nodes across the globe to verify state transitions without waiting for synchronous network-wide consensus messaging.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Tower BFT is a customized implementation of Practical Byzantine Fault Tolerance (PBFT) designed to leverage the PoH cryptographic clock. Tower BFT uses the PoH sequence as a time reference, enabling validators to vote on ledger state with exponentially increasing lockout periods, reducing consensus voting overhead to sub-second durations.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Gulf Stream is a mempool-less transaction forwarding protocol. Instead of storing unconfirmed transactions in a public mempool, Gulf Stream forwards incoming transactions directly to expected upcoming block leaders based on deterministic leader schedules, significantly reducing confirmation times and memory pressure on non-leader nodes.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Sealevel is a hyper-parallelized smart contract execution engine. Unlike EVM execution environments that process one transaction at a time, Sealevel can execute tens of thousands of smart contract calls simultaneously, provided the transactions declare non-overlapping account read and write states in advance.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Turbine is a block propagation protocol adapted from BitTorrent techniques. Turbine breaks block data into small, erasure-coded data packets ("shreds") and transmits them through a structured tree hierarchy of validator nodes, preventing bandwidth bottlenecks at the designated leader node.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Cloudbreak is an account database structure optimized for concurrent reads and writes across solid-state drives (SSDs), eliminating state storage read/write bottlenecks.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Pipelining represents a hardware transaction processing design where incoming instruction streams are assigned to distinct specialized hardware components (CPUs, GPUs, and network interfaces) to maximize hardware capacity utilization.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Validator Client Multiplicity transitioned the network from its early reliance on a single core client implementation (the original Solana Labs / Agave Rust client) toward full client diversity. This diversification is spearheaded by Jump Crypto's C/C++ client, Firedancer, alongside its hybrid release, Frankendancer, which demonstrated 1,000,000 TPS in controlled testing and reached 100,000 TPS in live conditions. The protocol roadmap also includes Alpenglow, a consensus overhaul designed to replace existing consensus mechanics and reduce transaction finality times down to 150 milliseconds.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end-to-end transaction pipeline flows without traditional mempool staging. An incoming transaction is submitted directly to upcoming block leaders via Gulf Stream, where it is deterministically timestamped by the local Proof of History VDF engine. The transaction is then executed concurrently alongside non-conflicting transactions within the Sealevel parallel runtime. Once executed, block shreds are distributed across the validator tree using Turbine, and state finality is confirmed via Tower BFT sub-second voting rounds.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Business &amp; Revenue Model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 operates as a low-cost, high-volume transaction settlement network. Protocol sustainability is maintained through network transaction fees, localized priority fee markets, programmatic token emissions, and state storage deposit mechanisms.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fees are deterministically calculated based on the number of signatures required per transaction, set at a baseline of 0.000005 SOL per signature. To manage state hotspots without inflating network-wide costs, Localized Priority Fee markets allow users to attach execution tips to transactions competing for access to specific high-demand accounts without increasing fees for un-congested applications.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 monetization mechanics originally burned 50% of all transaction fees while allocating the remaining 50% to block producers. Governance proposals (specifically SIMD-96 and SIMD-228) subsequently redirected 100% of priority fees directly to block-producing validators to align validator incentives and eliminate off-chain Maximal Extractable Value (MEV) side-deals.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Monetary policy is governed by a programmatic inflation schedule that launched at an initial annual rate of 8.0% in February 2021. The inflation rate declines by 15% per epoch-year until reaching a long-term floor of 1.5% per annum. Inflation rewards are distributed directly to token stakers proportional to their delegated stake, sustaining a network staking rate of approximately 65% across 380 million staked SOL. The protocol's economic cash flow baseline, defined as Real Economic Value (REV)—which combines native priority fees and MEV tips—surpassed $550 million in January 2025 alone, demonstrating protocol revenue generation under heavy network usage.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CHRONOLOGICAL DECISION EVENTS (Causal Event Graph)</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Event ID: DEV-001: Architectural Choice of Monolithic Parallel Execution over Sharding</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 / Date Range:</w:t>
      </w:r>
      <w:r w:rsidDel="00000000" w:rsidR="00000000" w:rsidRPr="00000000">
        <w:rPr>
          <w:rtl w:val="0"/>
        </w:rPr>
        <w:t xml:space="preserve"> November 2017 – March 2018.</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Pre-Conditions &amp; Constraints:</w:t>
      </w:r>
      <w:r w:rsidDel="00000000" w:rsidR="00000000" w:rsidRPr="00000000">
        <w:rPr>
          <w:rtl w:val="0"/>
        </w:rPr>
        <w:t xml:space="preserve"> Ethereum was experiencing severe operational degradation due to single-threaded transaction execution, prompting rival smart contract networks to pursue sharded or multi-chain appchain architectures.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Anatoly Yakovenko authored the Solana whitepaper, applying his background in system timing at Qualcomm to solve decentralized state synchronization.</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Decision Made:</w:t>
      </w:r>
      <w:r w:rsidDel="00000000" w:rsidR="00000000" w:rsidRPr="00000000">
        <w:rPr>
          <w:rtl w:val="0"/>
        </w:rPr>
        <w:t xml:space="preserve"> The founding team committed to a monolithic, single-state architecture using Proof of History and Sealevel parallel processing, explicitly rejecting state sharding or multi-chain structures.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Alternatives Rejected:</w:t>
      </w:r>
      <w:r w:rsidDel="00000000" w:rsidR="00000000" w:rsidRPr="00000000">
        <w:rPr>
          <w:rtl w:val="0"/>
        </w:rPr>
        <w:t xml:space="preserve"> Constructing an EVM-compatible Layer-2 rollup, utilizing Tendermint/Cosmos SDK appchain frameworks, or implementing execution sharding.</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Method:</w:t>
      </w:r>
      <w:r w:rsidDel="00000000" w:rsidR="00000000" w:rsidRPr="00000000">
        <w:rPr>
          <w:rtl w:val="0"/>
        </w:rPr>
        <w:t xml:space="preserve"> Built natively in Rust and C/C++, integrating low-level hardware thread scheduling, parallel account access declarations, and hardware signature verification.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ID: DEV-002: Emergency Supply Correction and Token Burn</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 / Date Range:</w:t>
      </w:r>
      <w:r w:rsidDel="00000000" w:rsidR="00000000" w:rsidRPr="00000000">
        <w:rPr>
          <w:rtl w:val="0"/>
        </w:rPr>
        <w:t xml:space="preserve"> May 2020.</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Pre-Conditions &amp; Constraints:</w:t>
      </w:r>
      <w:r w:rsidDel="00000000" w:rsidR="00000000" w:rsidRPr="00000000">
        <w:rPr>
          <w:rtl w:val="0"/>
        </w:rPr>
        <w:t xml:space="preserve"> Solana completed its public Dutch auction on CoinList in March 2020, establishing public circulating supply calculations.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On-chain sleuths discovered an undisclosed pool of 11.36 million SOL tokens allocated to an external market maker for liquidity provision, which was omitted from public circulating supply declarations.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Decision Made:</w:t>
      </w:r>
      <w:r w:rsidDel="00000000" w:rsidR="00000000" w:rsidRPr="00000000">
        <w:rPr>
          <w:rtl w:val="0"/>
        </w:rPr>
        <w:t xml:space="preserve"> To restore trust and maintain community alignment, the Solana Foundation decided to retrieve and permanently burn the entire 11.36 million SOL market maker pool.</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**Alternatives Rejected: Absorbing the tokens back into the locked treasury reserve, placing the market maker pool on a multi-year vesting schedule, or leaving the tokens in secondary market circulation.</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Method:</w:t>
      </w:r>
      <w:r w:rsidDel="00000000" w:rsidR="00000000" w:rsidRPr="00000000">
        <w:rPr>
          <w:rtl w:val="0"/>
        </w:rPr>
        <w:t xml:space="preserve"> The Solana Foundation executed an on-chain transaction burning exactly 11,363,003 SOL tokens, permanently reducing the total genesis supply baseline from 500,000,000 SOL down to 488,636,997 SOL.</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ID: DEV-003: Programmatic Inflation Schedule Activation</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 / Date Range:</w:t>
      </w:r>
      <w:r w:rsidDel="00000000" w:rsidR="00000000" w:rsidRPr="00000000">
        <w:rPr>
          <w:rtl w:val="0"/>
        </w:rPr>
        <w:t xml:space="preserve"> February 10, 2021 (Epoch 150, Slot 64800004).</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Pre-Conditions &amp; Constraints:</w:t>
      </w:r>
      <w:r w:rsidDel="00000000" w:rsidR="00000000" w:rsidRPr="00000000">
        <w:rPr>
          <w:rtl w:val="0"/>
        </w:rPr>
        <w:t xml:space="preserve"> Solana Mainnet-Beta had operated for 11 months with zero programmatic inflation emissions, relying entirely on bootstrap grants and base transaction fees.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Achieving sufficient validator node participation and consensus stabilization to transition the network to a permissionless Proof of Stake economic security model.</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Decision Made:</w:t>
      </w:r>
      <w:r w:rsidDel="00000000" w:rsidR="00000000" w:rsidRPr="00000000">
        <w:rPr>
          <w:rtl w:val="0"/>
        </w:rPr>
        <w:t xml:space="preserve"> Programmatically activate the formal inflation schedule starting at an initial rate of 8.0% per annum, subject to a 15% annual disinflation rate and a 1.5% long-term floor.</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Alternatives Rejected:</w:t>
      </w:r>
      <w:r w:rsidDel="00000000" w:rsidR="00000000" w:rsidRPr="00000000">
        <w:rPr>
          <w:rtl w:val="0"/>
        </w:rPr>
        <w:t xml:space="preserve"> Postponing inflation activation until mainnet beta exit, maintaining zero programmatic emissions funded solely by transaction fees, or enacting a flat annual token minting rate.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Method:</w:t>
      </w:r>
      <w:r w:rsidDel="00000000" w:rsidR="00000000" w:rsidRPr="00000000">
        <w:rPr>
          <w:rtl w:val="0"/>
        </w:rPr>
        <w:t xml:space="preserve"> Enacted via on-chain software activation following a validator governance vote, distributing the initial epoch payout of 213,841 SOL in Epoch 150.</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ID: DEV-004: Ecosystem Expansion Capitalization ($314M Investment Round)</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 / Date Range:</w:t>
      </w:r>
      <w:r w:rsidDel="00000000" w:rsidR="00000000" w:rsidRPr="00000000">
        <w:rPr>
          <w:rtl w:val="0"/>
        </w:rPr>
        <w:t xml:space="preserve"> June 2021.</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Pre-Conditions &amp; Constraints:</w:t>
      </w:r>
      <w:r w:rsidDel="00000000" w:rsidR="00000000" w:rsidRPr="00000000">
        <w:rPr>
          <w:rtl w:val="0"/>
        </w:rPr>
        <w:t xml:space="preserve"> On-chain application activity was expanding rapidly, but liquidity depth on local decentralized order books lagged significantly behind Ethereum's capital markets.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Aggressive competitive threats from rival L1 ecosystems launching dedicated multi-hundred-million-dollar liquidity incentive programs.</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Decision Made:</w:t>
      </w:r>
      <w:r w:rsidDel="00000000" w:rsidR="00000000" w:rsidRPr="00000000">
        <w:rPr>
          <w:rtl w:val="0"/>
        </w:rPr>
        <w:t xml:space="preserve"> Execute a $314 million institutional private token sale round to capitalize an ecosystem development fund and build liquidity infrastructure.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Alternatives Rejected:</w:t>
      </w:r>
      <w:r w:rsidDel="00000000" w:rsidR="00000000" w:rsidRPr="00000000">
        <w:rPr>
          <w:rtl w:val="0"/>
        </w:rPr>
        <w:t xml:space="preserve"> Liquidating Foundation treasury holdings on public spot exchanges or inflating native token emissions for liquidity mining rewards.</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Method:</w:t>
      </w:r>
      <w:r w:rsidDel="00000000" w:rsidR="00000000" w:rsidRPr="00000000">
        <w:rPr>
          <w:rtl w:val="0"/>
        </w:rPr>
        <w:t xml:space="preserve"> Direct private placement SAFT sale led by Andreessen Horowitz (a16z) and Multicoin Capital, with participation from Alameda Research, Polychain Capital, and CoinFund.</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ID: DEV-005: Core Transaction Pipeline Hardening (QUIC, QoS, Localized Fee Markets)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 / Date Range:</w:t>
      </w:r>
      <w:r w:rsidDel="00000000" w:rsidR="00000000" w:rsidRPr="00000000">
        <w:rPr>
          <w:rtl w:val="0"/>
        </w:rPr>
        <w:t xml:space="preserve"> April 2022 – October 2022.</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Pre-Conditions &amp; Constraints:</w:t>
      </w:r>
      <w:r w:rsidDel="00000000" w:rsidR="00000000" w:rsidRPr="00000000">
        <w:rPr>
          <w:rtl w:val="0"/>
        </w:rPr>
        <w:t xml:space="preserve"> Between September 2021 and May 2022, Solana experienced major network outages lasting between 7 and 17 hours due to automated bot spamming during high-demand NFT mints and token launches.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Bot transaction traffic reached 4,000,000 TPS, swamping validator node UDP network pipelines and causing memory overflows that broke consensus.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Decision Made:</w:t>
      </w:r>
      <w:r w:rsidDel="00000000" w:rsidR="00000000" w:rsidRPr="00000000">
        <w:rPr>
          <w:rtl w:val="0"/>
        </w:rPr>
        <w:t xml:space="preserve"> Re-architect the core ingestion pipeline by replacing plain UDP with Google’s QUIC protocol, implementing Stake-Weighted Quality of Service (QoS), and deploying Localized Fee Markets.</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Alternatives Rejected:</w:t>
      </w:r>
      <w:r w:rsidDel="00000000" w:rsidR="00000000" w:rsidRPr="00000000">
        <w:rPr>
          <w:rtl w:val="0"/>
        </w:rPr>
        <w:t xml:space="preserve"> Switching to a global gas fee bidding system, mandating user identity verification at the RPC gateway level, or artificially capping execution block limits.</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Method:</w:t>
      </w:r>
      <w:r w:rsidDel="00000000" w:rsidR="00000000" w:rsidRPr="00000000">
        <w:rPr>
          <w:rtl w:val="0"/>
        </w:rPr>
        <w:t xml:space="preserve"> Rolled out across validator client software versions v1.10 through v1.14, forcing RPC nodes and validators to prioritize connection traffic based on validator stake weight.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ID: DEV-006: Independent Validator Client Commissioning (Firedancer)</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 / Date Range:</w:t>
      </w:r>
      <w:r w:rsidDel="00000000" w:rsidR="00000000" w:rsidRPr="00000000">
        <w:rPr>
          <w:rtl w:val="0"/>
        </w:rPr>
        <w:t xml:space="preserve"> August 2022.</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Pre-Conditions &amp; Constraints:</w:t>
      </w:r>
      <w:r w:rsidDel="00000000" w:rsidR="00000000" w:rsidRPr="00000000">
        <w:rPr>
          <w:rtl w:val="0"/>
        </w:rPr>
        <w:t xml:space="preserve"> Every node on the network operated software derived from the original Solana Labs Rust codebase, creating a single-point-of-failure software bug profile.</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Recurring consensus halts caused by client execution bugs highlighted network reliability risks and institutional adoption limits.</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Decision Made:</w:t>
      </w:r>
      <w:r w:rsidDel="00000000" w:rsidR="00000000" w:rsidRPr="00000000">
        <w:rPr>
          <w:rtl w:val="0"/>
        </w:rPr>
        <w:t xml:space="preserve"> Commission Jump Crypto to construct an independent validator client, written from scratch in C/C++, named Firedancer.</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Alternatives Rejected:</w:t>
      </w:r>
      <w:r w:rsidDel="00000000" w:rsidR="00000000" w:rsidRPr="00000000">
        <w:rPr>
          <w:rtl w:val="0"/>
        </w:rPr>
        <w:t xml:space="preserve"> Relying indefinitely on Jito-Solana (an MEV-optimizing fork of the core Rust codebase) or funding a secondary Rust-based client fork.</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Method:</w:t>
      </w:r>
      <w:r w:rsidDel="00000000" w:rsidR="00000000" w:rsidRPr="00000000">
        <w:rPr>
          <w:rtl w:val="0"/>
        </w:rPr>
        <w:t xml:space="preserve"> Jump Crypto deployed low-latency trading engineers to build C-based networking, execution, and consensus engines, launching a hybrid release (Frankendancer) prior to full mainnet deployment.</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ID: DEV-007: Management of Alameda Insolvency and OTC Lockup Restructuring</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 / Date Range:</w:t>
      </w:r>
      <w:r w:rsidDel="00000000" w:rsidR="00000000" w:rsidRPr="00000000">
        <w:rPr>
          <w:rtl w:val="0"/>
        </w:rPr>
        <w:t xml:space="preserve"> November 2022 – April 2024.</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Pre-Conditions &amp; Constraints:</w:t>
      </w:r>
      <w:r w:rsidDel="00000000" w:rsidR="00000000" w:rsidRPr="00000000">
        <w:rPr>
          <w:rtl w:val="0"/>
        </w:rPr>
        <w:t xml:space="preserve"> The collapse of FTX and Alameda Research revealed that the entity held 55.86 million SOL tokens (~10.8% of network supply), with 42.16 million SOL locked in multi-year vesting contracts, causing SOL spot prices to crash over 90%.</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Bankruptcy court mandates requiring liquidators to realize cash recoveries for FTX Estate creditors.</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Decision Made:</w:t>
      </w:r>
      <w:r w:rsidDel="00000000" w:rsidR="00000000" w:rsidRPr="00000000">
        <w:rPr>
          <w:rtl w:val="0"/>
        </w:rPr>
        <w:t xml:space="preserve"> Facilitate structured Over-the-Counter (OTC) sales of locked SOL holdings to institutional consortiums (Pantera Capital, Galaxy Digital) at discounted rates ($64.00/SOL) bound by strict multi-year linear vesting schedules extending through 2028.</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Alternatives Rejected:</w:t>
      </w:r>
      <w:r w:rsidDel="00000000" w:rsidR="00000000" w:rsidRPr="00000000">
        <w:rPr>
          <w:rtl w:val="0"/>
        </w:rPr>
        <w:t xml:space="preserve"> Liquidating unlocked tokens directly on open spot markets or hard-forking the protocol to invalidate Alameda’s token addresses.</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Method:</w:t>
      </w:r>
      <w:r w:rsidDel="00000000" w:rsidR="00000000" w:rsidRPr="00000000">
        <w:rPr>
          <w:rtl w:val="0"/>
        </w:rPr>
        <w:t xml:space="preserve"> Court-sanctioned OTC sales executed by Galaxy Asset Management, preserving original lockup schedules while transferring token custody to institutional funds.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ID: DEV-008: Mobile Hardware Division Pivot (Saga Arbitrage to Seeker)</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 / Date Range:</w:t>
      </w:r>
      <w:r w:rsidDel="00000000" w:rsidR="00000000" w:rsidRPr="00000000">
        <w:rPr>
          <w:rtl w:val="0"/>
        </w:rPr>
        <w:t xml:space="preserve"> August 2023 – January 2024.</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Pre-Conditions &amp; Constraints:</w:t>
      </w:r>
      <w:r w:rsidDel="00000000" w:rsidR="00000000" w:rsidRPr="00000000">
        <w:rPr>
          <w:rtl w:val="0"/>
        </w:rPr>
        <w:t xml:space="preserve"> Solana Mobile launched its flagship Web3 phone, Saga, at $1,000 in May 2023, but recorded under 2,500 total unit sales by December 2023, far below the 30,000-unit operational break-even threshold.</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Impending financial failure and write-off of the hardware product vertical.</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Decision Made:</w:t>
      </w:r>
      <w:r w:rsidDel="00000000" w:rsidR="00000000" w:rsidRPr="00000000">
        <w:rPr>
          <w:rtl w:val="0"/>
        </w:rPr>
        <w:t xml:space="preserve"> Slash the Saga price to 599, coordinate ecosystem projects to attach token rewards (specifically a 30 millionBONK token claim) to the device's native Genesis Token, and leverage the resulting user arbitrage to fund a mass-market second device ("Seeker").</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Alternatives Rejected:</w:t>
      </w:r>
      <w:r w:rsidDel="00000000" w:rsidR="00000000" w:rsidRPr="00000000">
        <w:rPr>
          <w:rtl w:val="0"/>
        </w:rPr>
        <w:t xml:space="preserve"> Shutting down the hardware division and absorbing all accumulated hardware production losses.</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Method:</w:t>
      </w:r>
      <w:r w:rsidDel="00000000" w:rsidR="00000000" w:rsidRPr="00000000">
        <w:rPr>
          <w:rtl w:val="0"/>
        </w:rPr>
        <w:t xml:space="preserve"> Rapid price appreciation of the $BONK allocation caused the value of the phone's included token drop to exceed the $599 hardware cost, triggering a viral inventory sellout within 48 hours and generating over 150,000 pre-orders ($67.5M+ capital raised) for the follow-up Seeker phone.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STAKEHOLDER IMPACT &amp; REACTION METRICS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Community &amp; Testnet/Early Users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Social sentiment across platforms such as Twitter and Discord followed extreme cycles. The 2021 bull market created strong retail enthusiasm as SOL token prices rose from $0.22 at public auction to a peak of $258.72. Following the collapse of FTX in November 2022, social sentiment crashed to extreme fear, dominated by narrative claims that Solana was an insolvent project tied to Sam Bankman-Fried. Community sentiment rebounded sharply between 2023 and 2025, driven by memecoin volume, decentralized physical infrastructure (DePIN) growth, and expanding liquid staking options. Early retail users initially expressed discontent regarding low token allocations during the CoinList public auction (2.6% public float). However, long-term user retention recovered due to sub-cent transaction costs, sub-second finality, and native application usability.</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Airdrop Hunters &amp; Sybils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Rather than executing foundation-level token drops that incentivized automated wallet farming, Solana ecosystem applications developed targeted sybil-filtering frameworks. Major ecosystem protocols (Jito, Pyth, Jupiter, Tensor) evaluated historical user activity based on cumulative trading volume on central order books, multi-month interactive persistence, and hardware-bound verification. The Saga hardware arbitrage event converted over 20,000 secondary users into hardware-verified Web3 participants. The subsequent Seeker device pre-order structure eliminated automated bot networks by requiring an upfront non-refundable payment of $450 to $500 per unit, securing over 150,000 verified non-sybil user profiles.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VCs &amp; Investors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Solana secured over $25 million across pre-launch SAFT rounds between 2018 and 2020, followed by a $314 million private placement in June 2021. Seed investors entered at $0.04 per SOL, Founding Sale buyers at $0.20, and CoinList auction participants at $0.22. Early venture capital SAFT allocations were fully unlocked by early 2021. When the FTX Estate liquidated its 42.16 million locked SOL pool, institutional buyers (Pantera, Galaxy Digital) purchased the assets at $64.00 per SOL subject to linear monthly vesting extending through January 2028, absorbing market liquidation pressure while committing capital long term.</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Developers &amp; Ecosystem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from Electric Capital indicates that Solana grew its developer base significantly, becoming the leading ecosystem for new incoming developers between Q3 2023 and Q1 2024 by onboarding 7,625 new builders (an 83% growth rate). Monthly active core developers stabilized above 1,200 contributors by 2025. Developer retention was reinforced by the widespread adoption of the Anchor smart contract framework, which standardized Rust development by introducing built-in type safety, automated serialization, and protection against Cross-Program Invocation (CPI) exploits.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Stakeholder Group</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Empirical Metric</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Response &amp; Structural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Retail &amp; Early Users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CoinList Auction: $0.22 clearing price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friction over small public float (2.6%); turned highly bullish post-2023 on application performance.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Institutional &amp; VCs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$339M total private venture funding raised</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returns on early SAFT rounds ($0.04 seed); absorbed FTX Estate insolvency via multi-year OTC lockups.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Sybil &amp; Airdrop Hunters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150,000+ Seeker units pre-ordered at $450–$500</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Hardware-gated identity shifted farming away from automated address generation toward capital-backed physical devices.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Developers &amp; Builders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 monthly active devs; +83% new dev growth</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Widespread Anchor framework adoption reduced smart contract bugs and accelerated dApp deployment.</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QUANTIFIABLE OUTCOMES &amp; TRAJECTORY (Data &amp; Numbers)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Token Distribution Metrics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original initial supply instantiated in the genesis block on March 16, 2020, was 500,000,000 SOL. Following the May 2020 token burn of 11,363,003 SOL, the baseline supply was fixed at 488,636,997 SOL. Net supply growth is governed programmatically by Proof of Stake inflation emissions.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Allocation Tranche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Percentage of Genesis Supply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Volume (SOL)</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per Token (USD)</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 Raised (USD)</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Lockup &amp; Vesting Terms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Seed Sale Round</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25.60%</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81,200,000</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$0.040</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~$3.25M</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Unlocked fully by early 2021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Founding Sale Round</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20.40%</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64,600,000</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$0.200</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~$12.92M</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Unlocked fully by early 2021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Founding Team</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20.20%</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63,900,000</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(Internal)</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unlocked Jan 2021; 50% monthly through Feb 2023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Solana Foundation / Reserve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20.20%</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194,500,000</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(Treasury)</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grants, ecosystem development, and liquidity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Validator Sale Round</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8.20%</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25,900,000</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~$0.225</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~$5.83M</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Unlocked fully by early 2021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Strategic Sale Round</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9,400,000</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~$0.250</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~$2.35M</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Unlocked fully by early 2021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CoinList Dutch Auction</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2.60%</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8,000,000</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$0.220</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$1.76M</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unlocked at TGE; 90% 12-month price guarantee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Genesis Baseline</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100.00%</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488,636,997</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~$26.11M</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Post-May 2020 emergency token burn baseline</w:t>
            </w:r>
          </w:p>
        </w:tc>
      </w:tr>
    </w:tbl>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Network Metrics Checkpoints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capitalization, network usage, and infrastructure metrics across key historical checkpoints illustrate the network's expansion, drawdown during the 2022 crypto contraction, and subsequent recovery through 2025/2026.</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Checkpoint</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TGE / Launch (Q1 2020)</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Bull Cycle Peak (Nov 2021)</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FTX Insolvency Low (Dec 2022)</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Recovery (Q1 2024)</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Peak Maturity Era (2025–2026)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 Token Price</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$0.22</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$258.72</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$8.42</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$175.00</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$293.31 / $294.00 (ATH)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Circulating Token Supply</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8.0M SOL</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~300M SOL</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~360M SOL</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~443M SOL</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582.8M – 601.5M SOL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Market Capitalization</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~$1.76M</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~$77.9 Billion</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Billion</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~$77.5 Billion</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 Billion (at 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DeFi TVL (USD)</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&lt;$1.0 Million</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Billion</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 Million</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Billion</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$8.0B – $23.0B Peak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Daily Active Wallets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&lt;5,000</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~80,000</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~1,200,000</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2.2M – 2.6M Peak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Daily DEX Trading Volume</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Negligible</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Million</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Million</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Billion</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$39.0 Billion Peak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Peak Measured Throughput</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TPS</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 TPS</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 TPS</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~4,000 TPS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 TPS (Live Firedancer)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 Consensus Validators</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~1,700</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~1,295 – 1,400</w:t>
            </w:r>
          </w:p>
        </w:tc>
      </w:tr>
    </w:tbl>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Network Outage History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trade-offs inherent in Solana’s architecture—prioritizing temporal data consistency and maxed-out hardware throughput—resulted in full consensus halts when software bugs or un-throttled transaction spam overloaded validator node memory.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 Timestamp | Outage Duration | Failure Classification | Root Cause &amp; Failure Mechanism | Resolution &amp; Protocol Patch | | :--- | :--- | :--- | :--- | :--- | | </w:t>
      </w:r>
      <w:r w:rsidDel="00000000" w:rsidR="00000000" w:rsidRPr="00000000">
        <w:rPr>
          <w:b w:val="1"/>
          <w:bCs w:val="1"/>
          <w:rtl w:val="0"/>
        </w:rPr>
        <w:t xml:space="preserve">December 2020</w:t>
      </w:r>
      <w:r w:rsidDel="00000000" w:rsidR="00000000" w:rsidRPr="00000000">
        <w:rPr>
          <w:rtl w:val="0"/>
        </w:rPr>
        <w:t xml:space="preserve"> | ~6.0 Hours | Block Propagation Halt | </w:t>
      </w:r>
      <w:r w:rsidDel="00000000" w:rsidR="00000000" w:rsidRPr="00000000">
        <w:rPr>
          <w:b w:val="1"/>
          <w:bCs w:val="1"/>
          <w:rtl w:val="0"/>
        </w:rPr>
        <w:t xml:space="preserve">Turbine Bug:</w:t>
      </w:r>
      <w:r w:rsidDel="00000000" w:rsidR="00000000" w:rsidRPr="00000000">
        <w:rPr>
          <w:rtl w:val="0"/>
        </w:rPr>
        <w:t xml:space="preserve"> Logic flaw in block propagation code caused shred transmission loops. | Software patch deployed to fix Turbine packet forwarding logic. | | </w:t>
      </w:r>
      <w:r w:rsidDel="00000000" w:rsidR="00000000" w:rsidRPr="00000000">
        <w:rPr>
          <w:i w:val="1"/>
          <w:iCs w:val="1"/>
          <w:rtl w:val="0"/>
        </w:rPr>
        <w:t xml:space="preserve">September 14, 2021</w:t>
      </w:r>
      <w:r w:rsidDel="00000000" w:rsidR="00000000" w:rsidRPr="00000000">
        <w:rPr>
          <w:rtl w:val="0"/>
        </w:rPr>
        <w:t xml:space="preserve"> | 17.0 Hours | Memory Exhaustion | </w:t>
      </w:r>
      <w:r w:rsidDel="00000000" w:rsidR="00000000" w:rsidRPr="00000000">
        <w:rPr>
          <w:b w:val="1"/>
          <w:bCs w:val="1"/>
          <w:rtl w:val="0"/>
        </w:rPr>
        <w:t xml:space="preserve">Grape IDO Bot Spam:</w:t>
      </w:r>
      <w:r w:rsidDel="00000000" w:rsidR="00000000" w:rsidRPr="00000000">
        <w:rPr>
          <w:rtl w:val="0"/>
        </w:rPr>
        <w:t xml:space="preserve"> Bots sent 400k TPS over unthrottled UDP, causing RAM exhaustion and node crashes. | Validator manual restart; implemented memory limit bounds on transaction queues. | | </w:t>
      </w:r>
      <w:r w:rsidDel="00000000" w:rsidR="00000000" w:rsidRPr="00000000">
        <w:rPr>
          <w:b w:val="1"/>
          <w:bCs w:val="1"/>
          <w:rtl w:val="0"/>
        </w:rPr>
        <w:t xml:space="preserve">January 21–22, 2022</w:t>
      </w:r>
      <w:r w:rsidDel="00000000" w:rsidR="00000000" w:rsidRPr="00000000">
        <w:rPr>
          <w:rtl w:val="0"/>
        </w:rPr>
        <w:t xml:space="preserve"> | High Degradation (70% dropped txs) | Network Congestion | </w:t>
      </w:r>
      <w:r w:rsidDel="00000000" w:rsidR="00000000" w:rsidRPr="00000000">
        <w:rPr>
          <w:b w:val="1"/>
          <w:bCs w:val="1"/>
          <w:rtl w:val="0"/>
        </w:rPr>
        <w:t xml:space="preserve">Duplicate Transaction Flooding:</w:t>
      </w:r>
      <w:r w:rsidDel="00000000" w:rsidR="00000000" w:rsidRPr="00000000">
        <w:rPr>
          <w:rtl w:val="0"/>
        </w:rPr>
        <w:t xml:space="preserve"> Arbitrage bots flooded the network with un-priced duplicate txs. | Rolled out early QUIC protocol implementation and localized fee market designs. | | </w:t>
      </w:r>
      <w:r w:rsidDel="00000000" w:rsidR="00000000" w:rsidRPr="00000000">
        <w:rPr>
          <w:b w:val="1"/>
          <w:bCs w:val="1"/>
          <w:rtl w:val="0"/>
        </w:rPr>
        <w:t xml:space="preserve">April 30 – May 1, 2022</w:t>
      </w:r>
      <w:r w:rsidDel="00000000" w:rsidR="00000000" w:rsidRPr="00000000">
        <w:rPr>
          <w:rtl w:val="0"/>
        </w:rPr>
        <w:t xml:space="preserve"> | 7.0 – 8.0 Hours | Consensus Stall | </w:t>
      </w:r>
      <w:r w:rsidDel="00000000" w:rsidR="00000000" w:rsidRPr="00000000">
        <w:rPr>
          <w:b w:val="1"/>
          <w:bCs w:val="1"/>
          <w:rtl w:val="0"/>
        </w:rPr>
        <w:t xml:space="preserve">Candy Machine NFT Bot Spam:</w:t>
      </w:r>
      <w:r w:rsidDel="00000000" w:rsidR="00000000" w:rsidRPr="00000000">
        <w:rPr>
          <w:rtl w:val="0"/>
        </w:rPr>
        <w:t xml:space="preserve"> 4M TPS flooded memory pools, causing validators to crash out of consensus. | Validator v1.10 deployed; introduced mandatory execution fees for invalid transactions. | | </w:t>
      </w:r>
      <w:r w:rsidDel="00000000" w:rsidR="00000000" w:rsidRPr="00000000">
        <w:rPr>
          <w:b w:val="1"/>
          <w:bCs w:val="1"/>
          <w:rtl w:val="0"/>
        </w:rPr>
        <w:t xml:space="preserve">June 1, 2022</w:t>
      </w:r>
      <w:r w:rsidDel="00000000" w:rsidR="00000000" w:rsidRPr="00000000">
        <w:rPr>
          <w:rtl w:val="0"/>
        </w:rPr>
        <w:t xml:space="preserve"> | 4.5 Hours | State Divergence | </w:t>
      </w:r>
      <w:r w:rsidDel="00000000" w:rsidR="00000000" w:rsidRPr="00000000">
        <w:rPr>
          <w:b w:val="1"/>
          <w:bCs w:val="1"/>
          <w:rtl w:val="0"/>
        </w:rPr>
        <w:t xml:space="preserve">Durable Nonce Bug:</w:t>
      </w:r>
      <w:r w:rsidDel="00000000" w:rsidR="00000000" w:rsidRPr="00000000">
        <w:rPr>
          <w:rtl w:val="0"/>
        </w:rPr>
        <w:t xml:space="preserve"> Logic error in durable transaction nonce handling caused conflicting state hashes. | Disabled Durable Nonce feature until permanently patched in release v1.10.23. | | </w:t>
      </w:r>
      <w:r w:rsidDel="00000000" w:rsidR="00000000" w:rsidRPr="00000000">
        <w:rPr>
          <w:b w:val="1"/>
          <w:bCs w:val="1"/>
          <w:rtl w:val="0"/>
        </w:rPr>
        <w:t xml:space="preserve">September 30, 2022</w:t>
      </w:r>
      <w:r w:rsidDel="00000000" w:rsidR="00000000" w:rsidRPr="00000000">
        <w:rPr>
          <w:rtl w:val="0"/>
        </w:rPr>
        <w:t xml:space="preserve"> | 8.5 Hours | Fork Choice Failure | </w:t>
      </w:r>
      <w:r w:rsidDel="00000000" w:rsidR="00000000" w:rsidRPr="00000000">
        <w:rPr>
          <w:b w:val="1"/>
          <w:bCs w:val="1"/>
          <w:rtl w:val="0"/>
        </w:rPr>
        <w:t xml:space="preserve">Duplicate Block Bug:</w:t>
      </w:r>
      <w:r w:rsidDel="00000000" w:rsidR="00000000" w:rsidRPr="00000000">
        <w:rPr>
          <w:rtl w:val="0"/>
        </w:rPr>
        <w:t xml:space="preserve"> Logic error in fork choice rules caused unresolvable chain branching. | Node operators coordinated a manual network restart based on snapshot slot state. | | </w:t>
      </w:r>
      <w:r w:rsidDel="00000000" w:rsidR="00000000" w:rsidRPr="00000000">
        <w:rPr>
          <w:b w:val="1"/>
          <w:bCs w:val="1"/>
          <w:rtl w:val="0"/>
        </w:rPr>
        <w:t xml:space="preserve">February 25, 2023</w:t>
      </w:r>
      <w:r w:rsidDel="00000000" w:rsidR="00000000" w:rsidRPr="00000000">
        <w:rPr>
          <w:rtl w:val="0"/>
        </w:rPr>
        <w:t xml:space="preserve"> | 19.0 Hours | Shred Forwarding Failure | </w:t>
      </w:r>
      <w:r w:rsidDel="00000000" w:rsidR="00000000" w:rsidRPr="00000000">
        <w:rPr>
          <w:b w:val="1"/>
          <w:bCs w:val="1"/>
          <w:rtl w:val="0"/>
        </w:rPr>
        <w:t xml:space="preserve">Turbine Oversized Shred Overflow:</w:t>
      </w:r>
      <w:r w:rsidDel="00000000" w:rsidR="00000000" w:rsidRPr="00000000">
        <w:rPr>
          <w:rtl w:val="0"/>
        </w:rPr>
        <w:t xml:space="preserve"> Deduplication logic failed during heavy block forwarding. | Fixed deduplication routines; downgraded core validator code to stable v1.13 release. | | </w:t>
      </w:r>
      <w:r w:rsidDel="00000000" w:rsidR="00000000" w:rsidRPr="00000000">
        <w:rPr>
          <w:b w:val="1"/>
          <w:bCs w:val="1"/>
          <w:rtl w:val="0"/>
        </w:rPr>
        <w:t xml:space="preserve">February 6, 2024</w:t>
      </w:r>
      <w:r w:rsidDel="00000000" w:rsidR="00000000" w:rsidRPr="00000000">
        <w:rPr>
          <w:rtl w:val="0"/>
        </w:rPr>
        <w:t xml:space="preserve"> | ~5.0 Hours | Runtime Cache Halt | </w:t>
      </w:r>
      <w:r w:rsidDel="00000000" w:rsidR="00000000" w:rsidRPr="00000000">
        <w:rPr>
          <w:b w:val="1"/>
          <w:bCs w:val="1"/>
          <w:rtl w:val="0"/>
        </w:rPr>
        <w:t xml:space="preserve">Infinite JIT Recompile Loop:</w:t>
      </w:r>
      <w:r w:rsidDel="00000000" w:rsidR="00000000" w:rsidRPr="00000000">
        <w:rPr>
          <w:rtl w:val="0"/>
        </w:rPr>
        <w:t xml:space="preserve"> Bug in the Just-In-Time cache of the Agave core runtime triggered recursive looping. | Distributed patch v1.17.20 forcing cluster restart from last agreed slot.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CONFLICTING EVIDENCE &amp; UNRESOLVED QUESTIONS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Discrepancies &amp; Controversies The May 2020 market maker token loan generated significant public controversy regarding supply transparency. The discovery of 11.36 million undisclosed SOL tokens allocated to a market maker prompted claims of misleading supply reporting. Although the Solana Foundation remediated the discrepancy by permanently burning an equivalent sum of 11,363,003 SOL tokens, historical debates remain regarding market maker execution terms prior to public discovery.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bankruptcy liquidation of FTX/Alameda holdings created friction between creditors and institutional token buyers. Liquidators sold over 40 million locked SOL tokens to private venture consortiums at a fixed price of $64.00 per token—a ~60% discount to secondary market spot prices ($175.00) at the time of execution. FTX creditors argued that discounted private sales deprived the bankruptcy estate of upside value, whereas liquidators and ecosystem developers asserted that strict multi-year lockup terms extending through 2028 were required to prevent secondary spot market crashes.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Regulatory actions by the U.S. SEC in June 2023 explicitly claimed that SOL constituted an unregistered security in lawsuits filed against centralized exchanges. The Solana Foundation formally rejected this classification. While the subsequent SEC approval of Spot Staking Solana ETFs in late 2025 signaled regulatory acceptance, the broader legal precedent regarding early SAFT distributions remains subject to ongoing judicial interpretation.</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Unresolved Internal Triggers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Solana’s programmatic inflation schedule continues its -15% annual disinflation toward the terminal floor of 1.5% per annum, validator node operational rewards will shift from inflationary issuance toward organic Real Economic Value (REV)—specifically transaction base fees, priority fees, and MEV tips. Whether organic REV generation alone will provide sufficient economic yield to cover the hardware operational costs of running a consensus validator during low-volume bear market cycles remains an unconfirmed long-term economic model.</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Additionally, while Solana Mobile's hardware pivot from the Saga device to the Seeker phone secured over 150,000 unit pre-orders ($67.5M+ raised), empirical data remains incomplete regarding long-term active daily app usage on the hardware versus speculative purchasing driven primarily by expected future token airdrops.</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CONCLUSION &amp; SYNTHESIS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historical trajectory of Solana demonstrates a distinct protocol development paradigm: scaling blockchain throughput by optimizing software execution to consume raw hardware capacity, maintaining a monolithic global state to preserve composability, and adapting infrastructure in response to unexpected systemic shocks.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Solana’s central thesis—that Proof of History pre-ordering paired with parallel runtime execution (Sealevel) could deliver high-speed, sub-cent settlement—allowed it to capture significant activity across consumer crypto, DeFi trading, and DePIN infrastructure. While early reliance on a single Rust-based validator codebase exposed the network to software bugs and outage events between 2020 and 2024, protocol engineering iterations (QUIC, stake-weighted QoS, localized fee markets, and the independent C/C++ Firedancer client) systematically addressed these single-point-of-failure risks.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protocol demonstrated structural resilience following the insolvency of its largest early institutional backer, Alameda Research and FTX. By isolating locked token holdings through court-sanctioned institutional sales bound to multi-year lockups extending to 2028, the network detached its on-chain execution layer from legacy balance sheet liabilities.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Solana's evolution—from a 2017 whitepaper to a multi-client architecture running live execution benchmarks of 100,000 TPS—provides empirical evidence for the viability of non-sharded, hardware-scaled monolithic blockchains. Long-term protocol sustainability now hinges on the continued growth of organic Real Economic Value to sustain validator security as programmatic inflation approaches its terminal baseline.</w:t>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Karya yang dikutip</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2022-07-01 Solana Complaint w TOC FINAL (IN) - Traverse Legal, https://www.traverselegal.com/wp-content/uploads/2022/07/Mark-young-v-SOLANA-LABS-INC.pdf 2. Solana Review: The High-Performance Blockchain Built for Mass Adoption | Bitget News, https://www.bitget.com/news/detail/12560605258044 3. Is Solana Dead? The Truth Behind the FUD - BitDegree.org, https://www.bitdegree.org/crypto/tutorials/is-solana-dead 4. Solana Network Health Report: June 2025, https://solana.com/news/network-health-report-june-2025 5. A Financial Institution's Guide to Solana, https://solresearch.institute/posts/a-financial-institutions-guide-to-solana 6. Applications and Use Cases of Web3 (Part III) - Cambridge University Press &amp; Assessment, https://www.cambridge.org/core/books/web3/applications-and-use-cases-of-web3/DD4387363881506EE7BF86AB0F71E322 7. Solana Blockchain Explained: Understanding the High-Throughput, Low-Cost Network, https://www.ledger.com/academy/topics/blockchain/solana-blockchain-explained-understanding-the-high-throughput-low-cost-network 8. The Role of Venture Capital in Crypto: How Venture Firms Make Investment Decisions in Blockchain Startups, https://diposit.ub.edu/bitstreams/19968cbe-bba6-4b46-9bb5-44ce81881609/download 9. Institutional Capital Allocation in Digital Assets: A Comparative Analysis of the Top Ten Cryptocurrency Investment Funds - Medium, https://medium.com/@gwrx2005/institutional-capital-allocation-in-digital-assets-a-comparative-analysis-of-the-top-ten-6ff5364a1a3a 10. CRYPTO THESES - Metaverse Post, https://mpost.io/wp-content/uploads/MESSARI-Crypto_Theses_2023.pdf 11. Solana Raises 1.76 Million in Sold Out Coinlist Auction, https://solana.com/news/solana-raises-1-76-million-in-sold-out-coinlist-auction 12. Does the Future of Decentralized Finance Still Belong to Ethereum? - Crypto Research Report, https://cryptoresearch.report/wp-content/uploads/2022/03/Cointelegraph-Crypto-Research-Report-Does-the-Future-of-Decentralized-Finance-Still-Belong-to-Ethereum.pdf 13. Solana vs Polkadot: Comparing Speed and Functionality of Two Top Ethereum Challengers, https://crypto.com/ro/university/solana-vs-polkadot 14. Sui vs Solana: Comparing Adoption, Scalability and More! - Coin Bureau, https://coinbureau.com/analysis/sui-vs-solana 15. Solana Ecosystem Detailed Explanation: A Panoramic Analysis from Financing History to Technical Mechanisms | 深潮 TechFlow on Binance Square, https://www.binance.com/en/square/post/13642847614193 16. aip/content/ipfs-aips/all-aips.json at main · aave/aip - GitHub, https://github.com/aave/aip/blob/main/content/ipfs-aips/all-aips.json 17. Uniswap Token (UNI): Strengths, Weaknesses, Risks | CryptoEQ, https://www.cryptoeq.io/corereports/uniswap-token-abridged 18. Solana Saga Only Lasted for Two Years Before Shutting Down. Can Seeker, Who Has Now Fully Pivoted, Avoid the Same Fate? - Moomoo, https://www.moomoo.com/news/post/60202434/solana-saga-only-lasted-for-two-years-before-shutting-down 19. Is the Solana Network Reliable? Outage History and Upgrade Roadmap Explained, https://www.mexc.co/learn/article/is-the-solana-network-reliable-outage-history-and-upgrade-roadmap-explained/1 20. What is Firedancer? A Deep Dive into Solana 2.0 - Helius, https://www.helius.dev/blog/what-is-firedancer 21. Firedancer is Jump Crypto's Solana validator software. - GitHub, https://github.com/firedancer-io/firedancer 22. Solana Review 2026: Use Cases, Ecosystem &amp; How To Buy - Coin Bureau, https://coinbureau.com/review/solana-sol-review 23. Is Solana's inflation too high? - Helius, https://www.helius.dev/blog/solana-issuance-inflation-schedule 24. Research Challenges in Information Science. Information Science and the Connected World. 17th International Conference, RCIS 2023 Corfu, Greece, May 23–26, 2023 Proceedings 9783031330797, 9783031330803, https://dokumen.pub/research-challenges-in-information-science-information-science-and-the-connected-world-17th-international-conference-rcis-2023-corfu-greece-may-2326-2023-proceedings-9783031330797-9783031330803.html 25. Solana (SOL) Explained: Fastest Blockchain or Risky Bet? - LBank, https://www.lbank.info/hi/explore/solana-sol-explained-fastest-blockchain-or-risky-bet 26. Monthly Highlights - Kana and Katana, https://www.kanaandkatana.com/highlights 27. Securing Solana: A Comprehensive Analysis of Past Security Incidents and Lessons Learnt, https://medium.com/@khaythefirst/securing-solana-a-comprehensive-analysis-of-past-security-incidents-and-lessons-learnt-26f6d1a79453 28. Unveiling the Mammoth FTX Estate's Solana Stash: What It Means for SOL's Future | Bitcoinworld on Binance Square, https://www.binance.com/en/square/post/26818039982874 29. Focus on Solana token acquisition: What is the impact of selling 30 million SOL? - Binance, https://www.binance.com/en/square/post/6536552653042 30. Full-Year 2025 &amp; Themes for 2026 - Poder360, https://static.poder360.com.br/2026/01/full-year-2025-and-themes-for-2026.pdf 31. Solana - CoinList, https://coinlist.co/solana 32. Joint Report on recent developments in crypto-assets (Art 142 MiCAR) - European Banking Authority, https://www.eba.europa.eu/sites/default/files/2025-01/5fe168a2-e5a6-41a1-a1b4-87a35ecebb5c/Joint%20Report%20on%20recent%20developments%20in%20crypto-assets%20%28Art%20142%20MiCAR%29.pdf 33. An overview of Solana and its potential use cases - Fidelity Digital Assets, https://www.fidelitydigitalassets.com/sites/g/files/djuvja3256/files/dam/yhjjcqnr1f/fda_us_uk_solanacoinreport_1205025.2.0.pdf 34. Solana Price: SOL/USD Live Price Chart, Market Cap &amp; News Today | CoinGecko, https://www.coingecko.com/en/coins/solana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