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PROJECT: LayerZero</w:t>
      </w:r>
    </w:p>
    <w:p>
      <w:pPr>
        <w:pStyle w:val="Heading1"/>
      </w:pPr>
      <w:r>
        <w:t>POV SUCCESS-MATRIX — vonis di TINGKAT PROYEK</w:t>
      </w:r>
    </w:p>
    <w:p>
      <w:pPr>
        <w:pStyle w:val="Heading2"/>
      </w:pPr>
      <w:r>
        <w:t>Founder: mixed</w:t>
      </w:r>
    </w:p>
    <w:p>
      <w:pPr/>
      <w:r>
        <w:t>· Alasan: Bryan Pellegrino dan tim sukses membangun proyek bernilai $3 miliar dan mengumpulkan $263 juta pendanaan, mempertahankan kontrol perusahaan melalui buyback darurat pasca-FTX, serta meluncurkan V2 dan blockchain Zero. Namun, mereka juga membuat kesalahan strategis: menerima pendanaan dari FTX/Alameda yang memicu litigasi, merancang mekanisme Proof-of-Donation yang memicu backlash ritel, dan membiarkan konfigurasi 1-of-1 DVN tanpa guardrail yang menyebabkan insiden Kelp DAO $292 juta. Pernyataan publik setelah insiden — awalnya menyalahkan Kelp DAO, kemudian mengakui kesalahan — menunjukkan kegagalan manajemen krisis awal. (HIGH) [Historical Intelligence, event 30 Maret 2022; event 11 November 2022; event 20 Juni 2024; event 18 April 2026; Behavioral Intelligence, Decision Event 18 April 2026]</w:t>
      </w:r>
    </w:p>
    <w:p>
      <w:pPr/>
      <w:r>
        <w:t>· Evidence Level: HIGH</w:t>
      </w:r>
    </w:p>
    <w:p>
      <w:pPr>
        <w:pStyle w:val="Heading2"/>
      </w:pPr>
      <w:r>
        <w:t>VC: success</w:t>
      </w:r>
    </w:p>
    <w:p>
      <w:pPr/>
      <w:r>
        <w:t>· Alasan: Modal ventura yang berinvestasi di LayerZero (a16z, Sequoia, Binance Labs, Multicoin, dll.) memperoleh akses ke proyek dengan valuasi yang naik dari $1 miliar (Maret 2022) ke $3 miliar (April 2023). Total pendanaan $263 juta terkumpul, dan beberapa investor (a16z) melakukan pembelian token sekunder senilai $55 juta pada April 2025. Meskipun ada eksodus institusional pasca-Kelp DAO yang menekan harga ZRO (turun 87% dari ATH $7,47), VC tetap memiliki posisi ekuitas di LayerZero Labs dan mungkin melihat potensi jangka panjang dari blockchain Zero. Risiko utama adalah litigasi FTX yang telah diselesaikan dan insiden keamanan yang merusak reputasi, namun secara finansial, para VC masih berada di posisi untung mengingat valuasi yang tinggi dan akses awal. (HIGH) [Financial Intelligence, Funding Rounds; Historical Intelligence, event 30 Maret 2022 &amp; 4 April 2023; Token Intelligence, a16z purchase April 2025; Market Intelligence, ZRO price]</w:t>
      </w:r>
    </w:p>
    <w:p>
      <w:pPr/>
      <w:r>
        <w:t>· Evidence Level: HIGH</w:t>
      </w:r>
    </w:p>
    <w:p>
      <w:pPr>
        <w:pStyle w:val="Heading2"/>
      </w:pPr>
      <w:r>
        <w:t>Retail: failure</w:t>
      </w:r>
    </w:p>
    <w:p>
      <w:pPr/>
      <w:r>
        <w:t>· Alasan: Pengguna ritel mengalami beberapa pengalaman negatif: mekanisme Proof-of-Donation dijuluki "pajak ekstraksi" dan memicu penurunan harga ZRO ~15% pada hari TGE. Harga ZRO turun 87% dari ATH Desember 2024 ke Juli 2026. Airdrop dirancang dengan syarat donasi yang kontroversial, dan banyak pengguna yang kecewa dengan mekanisme klaim. Selain itu, insiden Kelp DAO membuat pengguna ritel kehilangan kepercayaan dan menarik likuiditas dari aplikasi yang menggunakan LayerZero. (HIGH) [Historical Intelligence, event 20 Juni 2024; Behavioral Intelligence, Decision Event 20 Juni 2024 (Stakeholder Reactions: Retail); Market Intelligence, ZRO price decline]</w:t>
      </w:r>
    </w:p>
    <w:p>
      <w:pPr/>
      <w:r>
        <w:t>· Evidence Level: HIGH</w:t>
      </w:r>
    </w:p>
    <w:p>
      <w:pPr>
        <w:pStyle w:val="Heading2"/>
      </w:pPr>
      <w:r>
        <w:t>Community: mixed</w:t>
      </w:r>
    </w:p>
    <w:p>
      <w:pPr/>
      <w:r>
        <w:t>· Alasan: Komunitas LayerZero sangat besar (Discord 395.154 member, Twitter 669.600 pengikut) dan aktif, tetapi terpecah. Sebagian besar DAO Stargate menyetujui akuisisi oleh LayerZero (~95% suara), menunjukkan dukungan kuat. Namun, mekanisme Proof-of-Donation dan insiden Kelp DAO memicu kritik dan perdebatan internal. Komunitas developer dan pengguna teknis mungkin tetap mendukung karena utilitas teknis yang kuat, sementara komunitas ritel lebih skeptis. Ada apati pemilih pada referendum fee-switch (turnout rendah, 3,71% pada Desember 2025), menunjukkan bahwa komunitas tidak cukup termotivasi untuk berpartisipasi dalam tata kelola. (HIGH) [Ecosystem Intelligence, Community Size/Activity; Historical Intelligence, event 10-25 Agustus 2025 &amp; 20 Juni 2024; Token Intelligence, Fee Switch referendum]</w:t>
      </w:r>
    </w:p>
    <w:p>
      <w:pPr/>
      <w:r>
        <w:t>· Evidence Level: HIGH</w:t>
      </w:r>
    </w:p>
    <w:p>
      <w:pPr>
        <w:pStyle w:val="Heading2"/>
      </w:pPr>
      <w:r>
        <w:t>Developer: mixed</w:t>
      </w:r>
    </w:p>
    <w:p>
      <w:pPr/>
      <w:r>
        <w:t>· Alasan: Developer mendapat manfaat besar dari arsitektur V2 yang fleksibel: kebebasan mengatur tumpukan keamanan sendiri, standar OFT yang memudahkan transfer token, dan alat pengembangan yang matang (CLI, pustaka). 54.000+ smart contract menggunakan LayerZero, dan volume pesan tumbuh 4x (2022-2024). Namun, fleksibilitas ini juga membebani developer dengan tanggung jawab keamanan yang kompleks; kesalahan konfigurasi (seperti 1-of-1 DVN) dapat berakibat fatal, seperti yang terjadi pada Kelp DAO. Developer juga menghadapi friksi teknis seperti quote pricing yang usang dan kebutuhan untuk menyesuaikan konfigurasi pasca-insiden. Meskipun demikian, banyak developer tetap setia karena utilitas teknis yang kuat dan potensi Zero. (HIGH) [Technology Intelligence, Architecture &amp; Security Model; Ecosystem Intelligence, Developer Ecosystem; Behavioral Intelligence, Decision Event 18 April 2026 (Stakeholder Reactions: Developer)]</w:t>
      </w:r>
    </w:p>
    <w:p>
      <w:pPr/>
      <w:r>
        <w:t>· Evidence Level: HIGH</w:t>
      </w:r>
    </w:p>
    <w:p>
      <w:pPr>
        <w:pStyle w:val="Heading2"/>
      </w:pPr>
      <w:r>
        <w:t>Institution: failure</w:t>
      </w:r>
    </w:p>
    <w:p>
      <w:pPr/>
      <w:r>
        <w:t>· Alasan: Institusi (Lombard, Solv Protocol, Kraken, Mantle, Aave, dll.) awalnya tertarik pada LayerZero karena cakupan rantai yang luas dan standar OFT, tetapi insiden Kelp DAO (April 2026) dan pengakuan kesalahan konfigurasi DVN memicu eksodus besar-besaran. Lebih dari $7,24 miliar aset pindah ke Chainlink CCIP antara Mei-Juli 2026, termasuk Aave yang memilih Chainlink CCIP sebagai default cross-chain rail. Meskipun LayerZero masih menguasai 85,7% volume GMP (Juni 2026), ini adalah segmen ritel/volume rendah; eksodus institusional menunjukkan hilangnya kepercayaan di segmen bernilai tinggi. Investasi dari Citadel, DTCC, ICE, dan ARK pada Februari 2026 menunjukkan potensi, tetapi implementasi Zero masih dalam tahap rencana dan belum terbukti. (HIGH) [Historical Intelligence, event Mei 2026; Market Intelligence, Competitor: Chainlink CCIP &amp; Exodus; Behavioral Intelligence, Decision Event Mei 2026 (Stakeholder Reactions: Institution)]</w:t>
      </w:r>
    </w:p>
    <w:p>
      <w:pPr/>
      <w:r>
        <w:t>· Evidence Level: HIGH</w:t>
      </w:r>
    </w:p>
    <w:p>
      <w:pPr>
        <w:pStyle w:val="Heading2"/>
      </w:pPr>
      <w:r>
        <w:t>Validator: mixed</w:t>
      </w:r>
    </w:p>
    <w:p>
      <w:pPr/>
      <w:r>
        <w:t>· Alasan: DVN pihak ketiga (Google Cloud, Polyhedra, Nethermind, dll.) mendapatkan peluang pasar dari arsitektur V2 yang modular. Mereka dapat menawarkan layanan verifikasi dan menghasilkan pendapatan dari fee. Namun, insiden Kelp DAO menunjukkan bahwa DVN tunggal (LayerZero Labs) dapat menjadi titik kegagalan, yang mendorong permintaan untuk multi-DVN tetapi juga meningkatkan persaingan. Perbaikan sistemik (Mei 2026) yang mewajibkan konfigurasi multi-DVN untuk DVN internal mungkin menguntungkan validator pihak ketiga karena lebih banyak aplikasi yang akan menggunakan mereka. Namun, eksodus ke Chainlink CCIP dapat mengurangi volume yang tersedia bagi validator LayerZero. Status beberapa DVN provider (EigenLabs, Delegate) masih belum jelas. (HIGH) [Technology Intelligence, Security Model &amp; Architecture; Historical Intelligence, event Mei 2026; Ecosystem Intelligence, Oracle Integrations]</w:t>
      </w:r>
    </w:p>
    <w:p>
      <w:pPr/>
      <w:r>
        <w:t>· Evidence Level: HIGH</w:t>
      </w:r>
    </w:p>
    <w:p>
      <w:pPr>
        <w:pStyle w:val="Heading2"/>
      </w:pPr>
      <w:r>
        <w:t>Builder: mixed</w:t>
      </w:r>
    </w:p>
    <w:p>
      <w:pPr/>
      <w:r>
        <w:t>· Alasan: Builder (pengembang aplikasi di atas LayerZero) mendapatkan fleksibilitas teknis yang besar dengan V2 dan standar OFT, serta akses ke 170+ chain. Stargate Finance, Radiant Capital, Ondo Finance, dan lainnya adalah contoh sukses. Namun, builder juga menghadapi risiko keamanan yang signifikan: insiden Kelp DAO menunjukkan bahwa kesalahan konfigurasi dapat menyebabkan kerugian besar, dan builder harus menghabiskan sumber daya untuk mengelola konfigurasi DVN. Eksodus institusional mungkin mengurangi likuiditas dan volume yang tersedia bagi builder yang bergantung pada LayerZero. Di sisi lain, akuisisi Stargate dan peluncuran Zero menawarkan peluang baru. (HIGH) [Ecosystem Intelligence, Applications Built On It; Historical Intelligence, event 18 April 2026 &amp; event 10-25 Agustus 2025; Behavioral Intelligence, Decision Event 18 April 2026 (Stakeholder Reactions: Builder)]</w:t>
      </w:r>
    </w:p>
    <w:p>
      <w:pPr/>
      <w:r>
        <w:t>· Evidence Level: HIGH</w:t>
      </w:r>
    </w:p>
    <w:p>
      <w:pPr>
        <w:pStyle w:val="Heading1"/>
      </w:pPr>
      <w:r>
        <w:t>LESSONS LEARNED</w:t>
      </w:r>
    </w:p>
    <w:p>
      <w:pPr/>
      <w:r>
        <w:t>Biggest mistake: Membiarkan fleksibilitas keamanan yang ekstrem (application-owned security) tanpa guardrails wajib, yang memungkinkan aplikasi menggunakan konfigurasi 1-of-1 DVN dan mengandalkan verifikator tunggal. Insiden Kelp DAO (April 2026) membuktikan bahwa developer tidak selalu memahami threat modeling, dan kerusakan reputasi serta eksodus modal yang terjadi tidak dapat dipulihkan hanya dengan perbaikan teknis dan permintaan maaf. (HIGH) [Historical Intelligence, event 18 April 2026 &amp; event Mei 2026; Technology Intelligence, Security Model &amp; Known Limits]</w:t>
      </w:r>
    </w:p>
    <w:p>
      <w:pPr/>
      <w:r>
        <w:t>· Event spesifik: Insiden Kelp DAO $292 juta dan eksodus $7,24 miliar ke Chainlink CCIP.</w:t>
      </w:r>
    </w:p>
    <w:p>
      <w:pPr/>
      <w:r>
        <w:t>· Evidence Level: HIGH</w:t>
      </w:r>
    </w:p>
    <w:p>
      <w:pPr/>
      <w:r>
        <w:t>Biggest win: Manuver pembelian kembali ekuitas darurat dari FTX/Alameda (10 November 2022) menggunakan treasury internal (~$134 juta) tanpa mengambil utang baru. Keputusan ini memungkinkan LayerZero mempertahankan kontrol korporat dan menghindari gangguan dari kurator kepailitan, meskipun memicu litigasi yang akhirnya diselesaikan. Ini menunjukkan pentingnya memiliki kas yang cukup dan keberanian untuk mengambil tindakan drastis dalam krisis. (HIGH) [Historical Intelligence, event 11 November 2022; Financial Intelligence, Treasury Size; Behavioral Intelligence, Decision Event 11 November 2022]</w:t>
      </w:r>
    </w:p>
    <w:p>
      <w:pPr/>
      <w:r>
        <w:t>· Event spesifik: Pembelian kembali 100% ekuitas dan waran token dari FTX Ventures/Alameda Research sehari sebelum kebangkrutan.</w:t>
      </w:r>
    </w:p>
    <w:p>
      <w:pPr/>
      <w:r>
        <w:t>· Evidence Level: HIGH</w:t>
      </w:r>
    </w:p>
    <w:p>
      <w:pPr>
        <w:pStyle w:val="Heading1"/>
      </w:pPr>
      <w:r>
        <w:t>ENTITY/RELATIONSHIP ADDENDUM</w:t>
      </w:r>
    </w:p>
    <w:p>
      <w:pPr/>
      <w:r>
        <w:t>Tidak ada entitas atau hubungan tambahan yang terlewat dari Entity Intelligence (Phase 2) berdasarkan dossier yang diberikan. Namun, beberapa hubungan memerlukan klarifikasi lebih lanjut:</w:t>
      </w:r>
    </w:p>
    <w:p>
      <w:pPr/>
      <w:r>
        <w:t>· Konflik antara "LayerZero Labs Ltd." dan "Optimistic Labs Limited" — hubungan pasti (apakah anak perusahaan, entitas yang berganti nama, atau kemitraan lisensi) belum terselesaikan. (MEDIUM) [Entity Intelligence, Entity: Optimistic Labs Limited; Open Questions]</w:t>
      </w:r>
    </w:p>
    <w:p>
      <w:pPr/>
      <w:r>
        <w:t>· Kepergian mantan COO Ari Litan dan tuntutan $13,07 juta darinya oleh FTX Recovery Trust — tidak ada detail tentang alasan kepergian atau perannya dalam litigasi. (LOW) [Historical Intelligence, note pada event 11 November 2022; Open Questions]</w:t>
      </w:r>
    </w:p>
    <w:p>
      <w:pPr/>
      <w:r>
        <w:t>· Status DVN provider EigenLabs dan Delegate — tidak ada bukti status live/announced di sumber yang tersedia. (LOW) [Ecosystem Intelligence, Oracle Integrations; Open Questions]</w:t>
      </w:r>
    </w:p>
    <w:p>
      <w:pPr>
        <w:pStyle w:val="Heading1"/>
      </w:pPr>
      <w:r>
        <w:t>PATTERN CANDIDATES</w:t>
      </w:r>
    </w:p>
    <w:p>
      <w:pPr>
        <w:pStyle w:val="Heading2"/>
      </w:pPr>
      <w:r>
        <w:t>Pattern Candidate 1: Manuver buyback ekuitas darurat yang didanai treasury internal (bukan utang baru) untuk memutus paparan hukum sebelum proses kepailitan pihak ketiga membekukan opsi korporat</w:t>
      </w:r>
    </w:p>
    <w:p>
      <w:pPr/>
      <w:r>
        <w:t>· Shape: Proyek yang memiliki paparan signifikan pada entitas yang sedang runtuh (misalnya, investor yang bangkrut) menggunakan kas internal yang cukup untuk membeli kembali ekuitas/waran dari entitas tersebut, sehingga menghindari gangguan tata kelola dan potensi klaim dari kurator kepailitan. Manuver ini berisiko karena dapat dianggap sebagai transfer preferensial dan memicu litigasi, tetapi berhasil melindungi otonomi proyek dalam jangka pendek.</w:t>
      </w:r>
    </w:p>
    <w:p>
      <w:pPr/>
      <w:r>
        <w:t>· Drawn From: Historical Intelligence, event 11 November 2022 — buyback ekuitas FTX/Alameda sehari sebelum kebangkrutan; Behavioral Intelligence, Decision Event 11 November 2022.</w:t>
      </w:r>
    </w:p>
    <w:p>
      <w:pPr/>
      <w:r>
        <w:t>· Applies When: Proyek yang telah menerima pendanaan dari investor yang kemudian dinyatakan bangkrut atau terlibat skandal besar; proyek memiliki kas internal yang cukup untuk membeli kembali saham; manajemen proyek ingin mempertahankan kontrol dan menghindari intervensi kurator.</w:t>
      </w:r>
    </w:p>
    <w:p>
      <w:pPr/>
      <w:r>
        <w:t>· Evidence Level: HIGH</w:t>
      </w:r>
    </w:p>
    <w:p>
      <w:pPr>
        <w:pStyle w:val="Heading2"/>
      </w:pPr>
      <w:r>
        <w:t>Pattern Candidate 2: Fleksibilitas arsitektur keamanan yang didelegasikan ke aplikasi (application-owned security) menciptakan utilitas developer jangka pendek tapi risiko sistemik jangka panjang saat klien salah konfigurasi</w:t>
      </w:r>
    </w:p>
    <w:p>
      <w:pPr/>
      <w:r>
        <w:t>· Shape: Proyek memberikan kebebasan penuh kepada pengembang untuk mengatur parameter keamanan (misalnya, jumlah verifikator, ambang batas konsensus) tanpa guardrails wajib. Hal ini menarik developer karena fleksibilitas dan kontrol, tetapi menciptakan risiko sistemik karena developer mungkin tidak memiliki keahlian atau sumber daya untuk mengelola keamanan dengan benar, yang dapat menyebabkan insiden besar yang merusak reputasi proyek secara keseluruhan.</w:t>
      </w:r>
    </w:p>
    <w:p>
      <w:pPr/>
      <w:r>
        <w:t>· Drawn From: Historical Intelligence, event 29 Januari 2024 (peluncuran V2) dan event 18 April 2026 (insiden Kelp DAO); Technology Intelligence, Security Model &amp; Known Limits.</w:t>
      </w:r>
    </w:p>
    <w:p>
      <w:pPr/>
      <w:r>
        <w:t>· Applies When: Proyek infrastruktur yang menyediakan layanan kritis (misalnya, perpesanan, bridging) dan memberi pengembang kontrol penuh atas pengaturan keamanan tanpa persyaratan minimum; ketika aset bernilai tinggi bergantung pada konfigurasi tersebut; ketika ada insiden yang disebabkan oleh kesalahan konfigurasi klien, yang kemudian merusak reputasi proyek secara keseluruhan.</w:t>
      </w:r>
    </w:p>
    <w:p>
      <w:pPr/>
      <w:r>
        <w:t>· Evidence Level: HIGH</w:t>
      </w:r>
    </w:p>
    <w:p>
      <w:pPr>
        <w:pStyle w:val="Heading2"/>
      </w:pPr>
      <w:r>
        <w:t>Pattern Candidate 3: Permintaan maaf publik + perbaikan teknis PASCA-insiden tidak cukup memulihkan kepercayaan institusional yang sudah terlanjur rusak — eksodus modal terus tumbuh berbulan-bulan setelah perbaikan diumumkan</w:t>
      </w:r>
    </w:p>
    <w:p>
      <w:pPr/>
      <w:r>
        <w:t>· Shape: Proyek mengalami insiden besar yang disebabkan oleh cacat desain atau kelalaian pengawasan. Tim merespons dengan permintaan maaf publik dan perbaikan teknis yang substansial, tetapi kepercayaan institusional telah rusak dan mitra/investor terus meninggalkan proyek dalam jangka waktu yang lebih lama, bahkan setelah perbaikan diimplementasikan. Reputasi yang hilang tidak dapat dipulihkan hanya dengan tindakan teknis; diperlukan waktu dan bukti keberhasilan jangka panjang.</w:t>
      </w:r>
    </w:p>
    <w:p>
      <w:pPr/>
      <w:r>
        <w:t>· Drawn From: Historical Intelligence, event Mei 2026 (modifikasi DVN dan permintaan maaf) dan eksodus berlanjut hingga Juli 2026; Market Intelligence, Exodus $7,24 miliar ke Chainlink CCIP; Behavioral Intelligence, Decision Event Mei 2026.</w:t>
      </w:r>
    </w:p>
    <w:p>
      <w:pPr/>
      <w:r>
        <w:t>· Applies When: Proyek yang mengandalkan kepercayaan institusional (misalnya, infrastruktur keuangan, penyimpanan aset) mengalami insiden yang menunjukkan kerentanan sistemik; perbaikan teknis dapat mengatasi akar masalah, tetapi reputasi yang rusak menyebabkan migrasi bertahap yang sulit dihentikan.</w:t>
      </w:r>
    </w:p>
    <w:p>
      <w:pPr/>
      <w:r>
        <w:t>· Evidence Level: HIGH</w:t>
      </w:r>
    </w:p>
    <w:p>
      <w:pPr>
        <w:pStyle w:val="Heading2"/>
      </w:pPr>
      <w:r>
        <w:t>Pattern Candidate 4: Mekanisme deflasi/governance token yang dirancang bagus secara teknis tapi gagal aktif karena APATI PEMILIH struktural (&gt;96% approval di antara yang memilih, tapi turnout tak pernah tembus kuorum di 4 referendum berturut-turut)</w:t>
      </w:r>
    </w:p>
    <w:p>
      <w:pPr/>
      <w:r>
        <w:t>· Shape: Proyek merancang mekanisme tata kelola on-chain yang mengikat (binding) dengan kuorum tinggi, tetapi pemegang token tidak cukup termotivasi untuk berpartisipasi, meskipun mereka mendukung proposal (approval tinggi di antara yang memilih). Akibatnya, mekanisme yang seharusnya mengaktifkan nilai tangkap atau deflasi tetap tidak aktif, dan proyek harus mencari alternatif (seperti pivot ke L1) untuk menciptakan utilitas token.</w:t>
      </w:r>
    </w:p>
    <w:p>
      <w:pPr/>
      <w:r>
        <w:t>· Drawn From: Token Intelligence, Fee Switch referendum (4 kali gagal kuorum); Historical Intelligence, event 10 Februari 2026 (peluncuran Zero sebagai alternatif utilitas); Behavioral Intelligence, Open Threads.</w:t>
      </w:r>
    </w:p>
    <w:p>
      <w:pPr/>
      <w:r>
        <w:t>· Applies When: Proyek yang menerapkan tata kelola on-chain dengan kuorum tinggi (misalnya, 40-60% suplai beredar) tetapi memiliki basis pemegang token yang besar dan tidak terkoordinasi; ada apati struktural karena insentif untuk berpartisipasi rendah atau biaya partisipasi (waktu, gas) dianggap lebih tinggi daripada manfaat potensial.</w:t>
      </w:r>
    </w:p>
    <w:p>
      <w:pPr/>
      <w:r>
        <w:t>· Evidence Level: HIGH</w:t>
      </w:r>
    </w:p>
    <w:p>
      <w:pPr>
        <w:pStyle w:val="Heading2"/>
      </w:pPr>
      <w:r>
        <w:t>Pattern Candidate 5: Pivot dari "protokol infrastruktur murni" menjadi "pesaing L1 langsung" ketika model utilitas token yang sudah ada gagal mengaktifkan nilai tangkap (value capture)</w:t>
      </w:r>
    </w:p>
    <w:p>
      <w:pPr/>
      <w:r>
        <w:t>· Shape: Proyek awalnya beroperasi sebagai protokol lapisan interoperabilitas atau middleware yang tidak memungut biaya protokol secara langsung. Token tata kelola dirancang untuk menangkap nilai melalui mekanisme deflasi (misalnya, fee switch), tetapi mekanisme tersebut tidak aktif karena hambatan tata kelola (misalnya, kuorum rendah). Proyek kemudian memutuskan untuk membuat blockchain Layer-1 sendiri, di mana token asli memiliki utilitas baru (gas, staking, governance), sehingga mentransformasi model bisnis dan menciptakan nilai baru yang tidak bergantung pada mekanisme sebelumnya.</w:t>
      </w:r>
    </w:p>
    <w:p>
      <w:pPr/>
      <w:r>
        <w:t>· Drawn From: Historical Intelligence, event 10 Februari 2026 (peluncuran Zero); Token Intelligence, Fee Switch gagal aktif; Behavioral Intelligence, Decision Event 10 Februari 2026.</w:t>
      </w:r>
    </w:p>
    <w:p>
      <w:pPr/>
      <w:r>
        <w:t>· Applies When: Proyek infrastruktur dengan token utilitas yang mengalami kesulitan mengaktifkan nilai tangkap melalui tata kelola on-chain; proyek memiliki sumber daya dan keahlian teknis untuk membangun L1; ada peluang pasar untuk L1 institusional yang belum terpenuhi.</w:t>
      </w:r>
    </w:p>
    <w:p>
      <w:pPr/>
      <w:r>
        <w:t>· Evidence Level: HIGH</w:t>
      </w:r>
    </w:p>
    <w:p>
      <w:pPr>
        <w:pStyle w:val="Heading2"/>
      </w:pPr>
      <w:r>
        <w:t>Pattern Candidate 6: "Proof-of-Donation" — mekanisme klaim token yang mewajibkan donasi ke pihak ketiga (protocol guild) sebagai filter spekulan, tetapi memicu backlash karena dirasakan sebagai pajak ekstraksi</w:t>
      </w:r>
    </w:p>
    <w:p>
      <w:pPr/>
      <w:r>
        <w:t>· Shape: Proyek merancang mekanisme airdrop/klaim token yang mengharuskan pengguna untuk menyumbangkan sejumlah kecil uang (misalnya, $0,10 per token) ke entitas nirlaba atau protocol guild sebagai syarat klaim. Tujuan: menyaring pengguna spekulatif, mendanai barang publik, dan mengurangi tekanan jual. Namun, komunitas ritel menganggapnya sebagai "pajak" atau "biaya klaim" yang tidak adil, memicu sentimen negatif dan penurunan harga token jangka pendek.</w:t>
      </w:r>
    </w:p>
    <w:p>
      <w:pPr/>
      <w:r>
        <w:t>· Drawn From: Historical Intelligence, event 20 Juni 2024; Token Intelligence, Proof-of-Donation; Behavioral Intelligence, Decision Event 20 Juni 2024 (Stakeholder Reactions: Retail).</w:t>
      </w:r>
    </w:p>
    <w:p>
      <w:pPr/>
      <w:r>
        <w:t>· Applies When: Proyek yang melakukan TGE atau airdrop besar dengan basis pengguna yang luas dan ingin memfilter spekulan; proyek memiliki narasi "barang publik" atau "donasi" yang kuat; ada risiko backlash ritel jika mekanisme dianggap memaksa.</w:t>
      </w:r>
    </w:p>
    <w:p>
      <w:pPr/>
      <w:r>
        <w:t>· Evidence Level: HIGH</w:t>
      </w:r>
    </w:p>
    <w:p>
      <w:pPr>
        <w:pStyle w:val="Heading2"/>
      </w:pPr>
      <w:r>
        <w:t>Pattern Candidate 7: Akuisisi melalui DAO voting dengan tawaran tandingan dari pesaing — proposal yang secara nominal lebih rendah tetapi menawarkan sinergi strategis dipilih daripada tawaran tunai yang lebih tinggi</w:t>
      </w:r>
    </w:p>
    <w:p>
      <w:pPr/>
      <w:r>
        <w:t>· Shape: Proyek A mengajukan proposal akuisisi ke DAO Proyek B, dengan nilai nominal yang lebih rendah dari tawaran tandingan pesaing. Namun, DAO memilih proyek A karena alasan strategis (misalnya, kontrol, integrasi, sinergi jangka panjang) dibandingkan tawaran tunai yang lebih tinggi. Ini menunjukkan bahwa dalam DAO, keputusan tidak selalu rasional secara finansial murni; pemegang token mungkin mempertimbangkan faktor non-finansial seperti visi, kepercayaan, dan masa depan proyek.</w:t>
      </w:r>
    </w:p>
    <w:p>
      <w:pPr/>
      <w:r>
        <w:t>· Drawn From: Historical Intelligence, event 10-25 Agustus 2025 (akuisisi Stargate oleh LayerZero, menolak tawaran tunai $120 juta dari Wormhole); Behavioral Intelligence, Decision Event 10-25 Agustus 2025.</w:t>
      </w:r>
    </w:p>
    <w:p>
      <w:pPr/>
      <w:r>
        <w:t>· Applies When: Proyek dengan DAO yang matang dan memiliki aset berharga (misalnya, TVL, protokol) menerima beberapa tawaran akuisisi; salah satu tawaran secara nominal lebih rendah tetapi menawarkan sinergi strategis yang kuat; DAO harus memilih antara uang tunai sekarang vs potensi nilai jangka panjang.</w:t>
      </w:r>
    </w:p>
    <w:p>
      <w:pPr/>
      <w:r>
        <w:t>· Evidence Level: HIGH</w:t>
      </w:r>
    </w:p>
    <w:p>
      <w:pPr>
        <w:pStyle w:val="Heading2"/>
      </w:pPr>
      <w:r>
        <w:t>Pattern Candidate 8: Riset internal menghasilkan terobosan teknis (QMDB, FAFO) yang memungkinkan pivot ke arsitektur baru yang jauh lebih skalabel, tetapi masih dalam tahap proof-of-concept dan belum teruji di produksi</w:t>
      </w:r>
    </w:p>
    <w:p>
      <w:pPr/>
      <w:r>
        <w:t>· Shape: Proyek melakukan riset internal yang menghasilkan inovasi teknis (misalnya, basis data baru, algoritma konsensus) yang secara teoritis memecahkan batasan skalabilitas. Tim kemudian mengumumkan pivot ke arsitektur baru (misalnya, L1) berdasarkan riset ini, menarik investasi dan perhatian, tetapi implementasi produksi masih dalam tahap pengembangan dan belum terbukti di dunia nyata.</w:t>
      </w:r>
    </w:p>
    <w:p>
      <w:pPr/>
      <w:r>
        <w:t>· Drawn From: Historical Intelligence, event 10 Februari 2026 (peluncuran Zero berdasarkan QMDB dan FAFO); Technology Intelligence, Scalability Approach.</w:t>
      </w:r>
    </w:p>
    <w:p>
      <w:pPr/>
      <w:r>
        <w:t>· Applies When: Proyek yang memiliki kapasitas riset internal yang kuat dan ingin mengatasi batasan teknis yang sudah dikenal; ada tekanan untuk mempertahankan kepemimpinan teknis; pivot besar-besaran membutuhkan investasi dan waktu, dan keberhasilan jangka panjang tidak pasti.</w:t>
      </w:r>
    </w:p>
    <w:p>
      <w:pPr/>
      <w:r>
        <w:t>· Evidence Level: HIGH</w:t>
      </w:r>
    </w:p>
    <w:p>
      <w:pPr>
        <w:pStyle w:val="Heading2"/>
      </w:pPr>
      <w:r>
        <w:t>Pattern Candidate 9: Model "dual-verification" (Oracle + Relayer di V1; DVN + Executor di V2) yang memisahkan verifikasi dan eksekusi — bergantung pada asumsi non-kolusi yang rapuh saat satu pihak dikompromi</w:t>
      </w:r>
    </w:p>
    <w:p>
      <w:pPr/>
      <w:r>
        <w:t>· Shape: Arsitektur keamanan mengandalkan asumsi bahwa dua atau lebih pihak independen tidak akan berkolusi atau dikompromi secara bersamaan. Namun, dalam praktiknya, satu pihak (misalnya, Oracle atau DVN internal) dapat menjadi titik kegagalan tunggal jika dikompromi (misalnya, melalui peretasan RPC) dan tidak ada mekanisme untuk mendeteksi atau mencegahnya. Ini adalah kelemahan struktural yang mirip dengan masalah "single point of failure" dalam sistem terdistribusi.</w:t>
      </w:r>
    </w:p>
    <w:p>
      <w:pPr/>
      <w:r>
        <w:t>· Drawn From: Technology Intelligence, Security Model (insiden Kelp DAO akibat 1-of-1 DVN); Historical Intelligence, event 18 April 2026.</w:t>
      </w:r>
    </w:p>
    <w:p>
      <w:pPr/>
      <w:r>
        <w:t>· Applies When: Proyek yang mengandalkan verifikasi multi-pihak tetapi tidak memiliki guardrails wajib untuk mencegah konfigurasi yang terlalu permisif; ada asumsi bahwa pihak-pihak yang terlibat akan selalu independen dan aman; ketika salah satu pihak dikompromi, seluruh sistem dapat gagal.</w:t>
      </w:r>
    </w:p>
    <w:p>
      <w:pPr/>
      <w:r>
        <w:t>· Evidence Level: HIGH</w:t>
      </w:r>
    </w:p>
    <w:p>
      <w:pPr>
        <w:pStyle w:val="Heading2"/>
      </w:pPr>
      <w:r>
        <w:t>Pattern Candidate 10: Ketergantungan pada likuiditas stablecoin (Stargate) sebagai pendorong utama adopsi dan pendapatan — rentan terhadap penurunan TVL dan kompetisi dari solusi stablecoin native</w:t>
      </w:r>
    </w:p>
    <w:p>
      <w:pPr/>
      <w:r>
        <w:t>· Shape: Proyek membangun aplikasi unggulan (flagship dApp) yang berfokus pada transfer stablecoin lintas-rantai, yang menjadi sumber utama adopsi dan pendapatan (misalnya, fee untuk buyback). Namun, TVL aplikasi tersebut sangat bergantung pada kondisi pasar dan kompetisi; jika TVL menurun (misalnya, karena insiden keamanan atau kompetisi dari solusi stablecoin native seperti USDT0), pendapatan proyek juga menurun dan mekanisme buyback menjadi kurang efektif.</w:t>
      </w:r>
    </w:p>
    <w:p>
      <w:pPr/>
      <w:r>
        <w:t>· Drawn From: Financial Intelligence, Revenue Model (Stargate buyback); Historical Intelligence, event 18 April 2026 (dampak pada Stargate TVL); Market Intelligence, TVL History.</w:t>
      </w:r>
    </w:p>
    <w:p>
      <w:pPr/>
      <w:r>
        <w:t>· Applies When: Proyek yang mengandalkan satu aplikasi atau satu jenis aset (misalnya, stablecoin) untuk sebagian besar adopsi dan pendapatan; ada risiko bahwa aplikasi tersebut kehilangan pangsa pasar karena insiden atau kompetisi; diversifikasi sumber pendapatan diperlukan untuk ketahanan jangka panjang.</w:t>
      </w:r>
    </w:p>
    <w:p>
      <w:pPr/>
      <w:r>
        <w:t>· Evidence Level: HIGH</w:t>
      </w:r>
    </w:p>
    <w:p>
      <w:pPr>
        <w:pStyle w:val="Heading1"/>
      </w:pPr>
      <w:r>
        <w:t>Open Threads</w:t>
      </w:r>
    </w:p>
    <w:p>
      <w:pPr/>
      <w:r>
        <w:t>· Resolusi Temporal Peluncuran Testnet: Tidak ada satu pun tanggal spesifik peluncuran testnet publik awal yang berhasil divalidasi dari sumber yang tersedia. (LOW) [Historical Intelligence, event Mei 2021?; Foundation Intelligence]</w:t>
      </w:r>
    </w:p>
    <w:p>
      <w:pPr/>
      <w:r>
        <w:t>· Konflik Entitas Korporasi: Dokumentasi legal eksternal mendeteksi entitas "Optimistic Labs Limited" yang bertindak sebagai sub-operator jembatan Etherlink, bertentangan dengan dokumen resmi LayerZero Labs Ltd. Hubungan pasti antara kedua entitas belum terselesaikan. (MEDIUM) [Entity Intelligence, Entity: Optimistic Labs Limited; Open Questions]</w:t>
      </w:r>
    </w:p>
    <w:p>
      <w:pPr/>
      <w:r>
        <w:t>· Kepergian Eksekutif: Gugatan FTX menuntut $13,07 juta dari mantan COO Ari Litan, menunjukkan adanya kepergian eksekutif yang belum tercatat secara detail. Alasan kepergian dan dampaknya pada operasi belum diketahui. (LOW) [Historical Intelligence, note pada event 11 November 2022; Open Questions]</w:t>
      </w:r>
    </w:p>
    <w:p>
      <w:pPr/>
      <w:r>
        <w:t>· Insiden Keamanan Kedua: Klaim bahwa Radiant Capital dan Ondo Finance mengonfigurasi ulang ke multi-DVN pasca-insiden akhir 2024 sebagian terverifikasi (Radiant), tetapi Ondo Finance belum terverifikasi. (MEDIUM) [Open Questions; Ecosystem Intelligence]</w:t>
      </w:r>
    </w:p>
    <w:p>
      <w:pPr/>
      <w:r>
        <w:t>· Daftar Auditor: Klaim tentang 6 firma audit (Trail of Bits, Zellic, Zokyo, PeckShield, Hacken, ClawSecure) dengan tanggal dan cakupan spesifik belum diverifikasi secara independen; Zokyo bahkan hanya muncul sebagai investor di satu sumber. Perlu verifikasi langsung dari halaman audit resmi LayerZero. (MEDIUM) [Technology Intelligence, Audit History; Open Questions]</w:t>
      </w:r>
    </w:p>
    <w:p>
      <w:pPr/>
      <w:r>
        <w:t>· Status Fee Switch: Meskipun dirancang, Fee Switch belum pernah diaktifkan; empat referendum gagal mencapai kuorum; klaim aktivasi di beberapa sumber sekunder salah. (HIGH) [Token Intelligence, Fee Switch; Open Questions]</w:t>
      </w:r>
    </w:p>
    <w:p>
      <w:pPr/>
      <w:r>
        <w:t>· Nilai Settlement FTX: Nilai dolar final settlement (31 Januari 2025) tidak pernah diungkap publik; satu-satunya sumber adalah pernyataan CEO sendiri di X, tanpa dokumen pengadilan yang mengungkap angka. Angka "$111 juta" yang beredar di draf sebelumnya tidak berdasar. (HIGH) [Financial Intelligence, FTX Litigation; Open Questions]</w:t>
      </w:r>
    </w:p>
    <w:p>
      <w:pPr/>
      <w:r>
        <w:t>· Treasury dan Burn Rate: Tidak ada angka treasury yang diperbarui sejak November 2022 (~$134 juta); burn rate operasional bulanan tidak pernah diungkapkan di sumber manapun. (HIGH) [Financial Intelligence, Treasury Size &amp; Burn Rate; Open Questions]</w:t>
      </w:r>
    </w:p>
    <w:p>
      <w:pPr/>
      <w:r>
        <w:t>· Investasi Strategis: Jumlah dolar investasi Tether, Citadel Securities, dan ARK Invest (Februari 2026) tidak diungkapkan — hanya jenis instrumennya (ekuitas vs token) yang diketahui. (MEDIUM) [Financial Intelligence, Peristiwa Modal Non-Round; Open Questions]</w:t>
      </w:r>
    </w:p>
    <w:p>
      <w:pPr/>
      <w:r>
        <w:t>· Selisih Angka Pendanaan: Series A ($6 juta CoinDesk vs $6,3 juta Blockworks) dan akuisisi Stargate ($110 juta DL News vs $120 juta blog resmi) tetap tidak terselesaikan antar sumber. (MEDIUM) [Financial Intelligence, Funding Rounds &amp; Stargate Acquisition; Open Questions]</w:t>
      </w:r>
    </w:p>
    <w:p>
      <w:pPr/>
      <w:r>
        <w:t>· Konsentrasi Holder: Tidak ada angka Top-10/50/100 lintas-chain yang bersih dan tersedia publik; hanya sinyal parsial yang ada (akumulasi 2,6% dari Nansen; konsentrasi penjualan 37,9% dari blog Foundation). (MEDIUM) [Token Intelligence, Holder Concentration; Open Questions]</w:t>
      </w:r>
    </w:p>
    <w:p>
      <w:pPr/>
      <w:r>
        <w:t>· Zero Blockchain: Status "Zero" masih berupa rencana dengan target peluncuran musim gugur 2026; keterlibatan DTCC dan ICE masih bersifat eksplorasi. Target throughput 2 juta TPS belum teruji di produksi. (HIGH) [Historical Intelligence, event 10 Februari 2026; Open Questions]</w:t>
      </w:r>
    </w:p>
    <w:p>
      <w:pPr/>
      <w:r>
        <w:t>· Efektivitas Perbaikan DVN: Apakah modifikasi keamanan sistemik (Mei 2026) berhasil memulihkan kepercayaan atau eksodus masih berlanjut — belum terukur secara kuantitatif pasca-Juli 2026. (LOW) [Market Intelligence, Current Status; Open Questions]</w:t>
      </w:r>
    </w:p>
    <w:p>
      <w:pPr/>
      <w:r>
        <w:t>· Status DVN Provider: Status live/announced untuk DVN provider EigenLabs/EigenLayer dan Delegate belum dapat diverifikasi dari sumber yang tersedia. (LOW) [Ecosystem Intelligence, Oracle Integrations; Open Questions]</w:t>
      </w:r>
    </w:p>
    <w:p>
      <w:pPr/>
      <w:r>
        <w:t>· Jumlah Chain Terintegrasi: Klaim bervariasi antara 50+, 130+, 165+, 168, dan 170+ — tidak ada konsensus. (MEDIUM) [Foundation Intelligence; Ecosystem Intelligence; Market Intelligence; Open Questions]</w:t>
      </w:r>
    </w:p>
    <w:p>
      <w:pPr/>
      <w:r>
        <w:t>· Jumlah dApp: Klaim 80+ vs 750+ — sumber tidak sepakat. (MEDIUM) [Foundation Intelligence; Ecosystem Intelligence; Open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