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B579A"/>
          <w:shd w:val="clear" w:color="auto" w:fill="E6E6E6"/>
        </w:rPr>
        <w:alias w:val="Memo title:"/>
        <w:tag w:val="Memo tilte:"/>
        <w:id w:val="-164170097"/>
        <w:placeholder>
          <w:docPart w:val="2FF65741F0034EF99C653B061577E144"/>
        </w:placeholder>
        <w:temporary/>
        <w:showingPlcHdr/>
        <w15:appearance w15:val="hidden"/>
      </w:sdtPr>
      <w:sdtEndPr>
        <w:rPr>
          <w:color w:val="auto"/>
          <w:shd w:val="clear" w:color="auto" w:fill="auto"/>
        </w:rPr>
      </w:sdtEndPr>
      <w:sdtContent>
        <w:p w14:paraId="1AFB501F" w14:textId="3EF6DAC8" w:rsidR="1DA32DF5" w:rsidRDefault="1DA32DF5" w:rsidP="217198FB">
          <w:pPr>
            <w:pStyle w:val="Title"/>
            <w:jc w:val="right"/>
          </w:pPr>
          <w:r>
            <w:rPr>
              <w:noProof/>
            </w:rPr>
            <w:drawing>
              <wp:inline distT="0" distB="0" distL="0" distR="0" wp14:anchorId="59236A0D" wp14:editId="1C085F3F">
                <wp:extent cx="3617738" cy="838446"/>
                <wp:effectExtent l="0" t="0" r="0" b="0"/>
                <wp:docPr id="1260671364" name="Picture 1260671364" descr="Northwest Shelbyville Regional Hospital graphic with hospital cro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17738" cy="838446"/>
                        </a:xfrm>
                        <a:prstGeom prst="rect">
                          <a:avLst/>
                        </a:prstGeom>
                      </pic:spPr>
                    </pic:pic>
                  </a:graphicData>
                </a:graphic>
              </wp:inline>
            </w:drawing>
          </w:r>
        </w:p>
        <w:p w14:paraId="4F32810B" w14:textId="77777777" w:rsidR="004B1BB7" w:rsidRDefault="004B1BB7" w:rsidP="004B1BB7">
          <w:pPr>
            <w:pStyle w:val="Title"/>
          </w:pPr>
          <w:r>
            <w:t>Memo</w:t>
          </w:r>
        </w:p>
      </w:sdtContent>
    </w:sdt>
    <w:tbl>
      <w:tblPr>
        <w:tblStyle w:val="Memotable"/>
        <w:tblW w:w="9450" w:type="dxa"/>
        <w:tblBorders>
          <w:bottom w:val="none" w:sz="0" w:space="0" w:color="auto"/>
        </w:tblBorders>
        <w:tblLayout w:type="fixed"/>
        <w:tblCellMar>
          <w:left w:w="0" w:type="dxa"/>
          <w:right w:w="0" w:type="dxa"/>
        </w:tblCellMar>
        <w:tblLook w:val="04A0" w:firstRow="1" w:lastRow="0" w:firstColumn="1" w:lastColumn="0" w:noHBand="0" w:noVBand="1"/>
        <w:tblDescription w:val="Memo header fields"/>
      </w:tblPr>
      <w:tblGrid>
        <w:gridCol w:w="1218"/>
        <w:gridCol w:w="8232"/>
      </w:tblGrid>
      <w:tr w:rsidR="004B1BB7" w14:paraId="2ED43707" w14:textId="77777777" w:rsidTr="009F1D9D">
        <w:trPr>
          <w:trHeight w:val="540"/>
        </w:trPr>
        <w:sdt>
          <w:sdtPr>
            <w:rPr>
              <w:rFonts w:ascii="Arial" w:hAnsi="Arial" w:cs="Arial"/>
              <w:color w:val="4472C4" w:themeColor="accent1"/>
              <w:sz w:val="22"/>
              <w:szCs w:val="22"/>
              <w:shd w:val="clear" w:color="auto" w:fill="E6E6E6"/>
            </w:rPr>
            <w:alias w:val="To:"/>
            <w:tag w:val="To:"/>
            <w:id w:val="1015413264"/>
            <w:placeholder>
              <w:docPart w:val="433FB1ABC7264D09AFF8E828467AF88B"/>
            </w:placeholder>
            <w:temporary/>
            <w:showingPlcHdr/>
            <w15:appearance w15:val="hidden"/>
          </w:sdtPr>
          <w:sdtEndPr>
            <w:rPr>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1218" w:type="dxa"/>
              </w:tcPr>
              <w:p w14:paraId="5F8D623A" w14:textId="77777777" w:rsidR="004B1BB7" w:rsidRPr="0002472F" w:rsidRDefault="004B1BB7" w:rsidP="00033E8E">
                <w:pPr>
                  <w:pStyle w:val="Heading1"/>
                  <w:spacing w:before="0"/>
                  <w:contextualSpacing w:val="0"/>
                  <w:outlineLvl w:val="0"/>
                  <w:rPr>
                    <w:rFonts w:ascii="Arial" w:hAnsi="Arial" w:cs="Arial"/>
                    <w:color w:val="4472C4" w:themeColor="accent1"/>
                    <w:sz w:val="22"/>
                    <w:szCs w:val="22"/>
                  </w:rPr>
                </w:pPr>
                <w:r w:rsidRPr="0002472F">
                  <w:rPr>
                    <w:rFonts w:ascii="Arial" w:hAnsi="Arial" w:cs="Arial"/>
                    <w:color w:val="4472C4" w:themeColor="accent1"/>
                    <w:sz w:val="22"/>
                    <w:szCs w:val="22"/>
                  </w:rPr>
                  <w:t>To:</w:t>
                </w:r>
              </w:p>
            </w:tc>
          </w:sdtContent>
        </w:sdt>
        <w:tc>
          <w:tcPr>
            <w:tcW w:w="8232" w:type="dxa"/>
          </w:tcPr>
          <w:p w14:paraId="21CA2307" w14:textId="06A1876D" w:rsidR="004B1BB7" w:rsidRPr="0002472F" w:rsidRDefault="0002472F"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4472C4" w:themeColor="accent1"/>
                <w:shd w:val="clear" w:color="auto" w:fill="E6E6E6"/>
              </w:rPr>
            </w:pPr>
            <w:r w:rsidRPr="0002472F">
              <w:rPr>
                <w:rFonts w:ascii="Arial" w:hAnsi="Arial" w:cs="Arial"/>
                <w:color w:val="4472C4" w:themeColor="accent1"/>
              </w:rPr>
              <w:t>Northwest Shelbyville Regional Hospital</w:t>
            </w:r>
          </w:p>
          <w:p w14:paraId="4DFE461A" w14:textId="3EE2E724" w:rsidR="00F21C88" w:rsidRPr="0002472F" w:rsidRDefault="00F21C88"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4472C4" w:themeColor="accent1"/>
              </w:rPr>
            </w:pPr>
          </w:p>
        </w:tc>
      </w:tr>
      <w:tr w:rsidR="004B1BB7" w14:paraId="6F9EE062" w14:textId="77777777" w:rsidTr="009F1D9D">
        <w:sdt>
          <w:sdtPr>
            <w:rPr>
              <w:rFonts w:ascii="Arial" w:hAnsi="Arial" w:cs="Arial"/>
              <w:color w:val="4472C4" w:themeColor="accent1"/>
              <w:sz w:val="22"/>
              <w:szCs w:val="22"/>
              <w:shd w:val="clear" w:color="auto" w:fill="E6E6E6"/>
            </w:rPr>
            <w:alias w:val="From:"/>
            <w:tag w:val="From:"/>
            <w:id w:val="21141888"/>
            <w:placeholder>
              <w:docPart w:val="E80F42867D77449D8A3DE2D8A0C67D84"/>
            </w:placeholder>
            <w:temporary/>
            <w:showingPlcHdr/>
            <w15:appearance w15:val="hidden"/>
          </w:sdtPr>
          <w:sdtEndPr>
            <w:rPr>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1218" w:type="dxa"/>
              </w:tcPr>
              <w:p w14:paraId="1E4FCA62" w14:textId="77777777" w:rsidR="004B1BB7" w:rsidRPr="0002472F" w:rsidRDefault="004B1BB7" w:rsidP="00033E8E">
                <w:pPr>
                  <w:pStyle w:val="Heading1"/>
                  <w:spacing w:before="0"/>
                  <w:contextualSpacing w:val="0"/>
                  <w:outlineLvl w:val="0"/>
                  <w:rPr>
                    <w:rFonts w:ascii="Arial" w:hAnsi="Arial" w:cs="Arial"/>
                    <w:color w:val="4472C4" w:themeColor="accent1"/>
                    <w:sz w:val="22"/>
                    <w:szCs w:val="22"/>
                  </w:rPr>
                </w:pPr>
                <w:r w:rsidRPr="0002472F">
                  <w:rPr>
                    <w:rFonts w:ascii="Arial" w:hAnsi="Arial" w:cs="Arial"/>
                    <w:color w:val="4472C4" w:themeColor="accent1"/>
                    <w:sz w:val="22"/>
                    <w:szCs w:val="22"/>
                  </w:rPr>
                  <w:t>From:</w:t>
                </w:r>
              </w:p>
            </w:tc>
          </w:sdtContent>
        </w:sdt>
        <w:tc>
          <w:tcPr>
            <w:tcW w:w="8232" w:type="dxa"/>
          </w:tcPr>
          <w:p w14:paraId="2152FDC3" w14:textId="1A07CCB6" w:rsidR="3A1F0301" w:rsidRPr="0002472F" w:rsidRDefault="0002472F"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4472C4" w:themeColor="accent1"/>
              </w:rPr>
            </w:pPr>
            <w:r w:rsidRPr="0002472F">
              <w:rPr>
                <w:rFonts w:ascii="Arial" w:hAnsi="Arial" w:cs="Arial"/>
                <w:color w:val="4472C4" w:themeColor="accent1"/>
              </w:rPr>
              <w:t>Reece Zunino</w:t>
            </w:r>
          </w:p>
          <w:p w14:paraId="625263EC" w14:textId="0A4201FD" w:rsidR="00F21C88" w:rsidRPr="0002472F" w:rsidRDefault="00F21C88"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4472C4" w:themeColor="accent1"/>
              </w:rPr>
            </w:pPr>
          </w:p>
        </w:tc>
      </w:tr>
      <w:tr w:rsidR="004B1BB7" w14:paraId="7D89FC4D" w14:textId="77777777" w:rsidTr="009F1D9D">
        <w:sdt>
          <w:sdtPr>
            <w:rPr>
              <w:rFonts w:ascii="Arial" w:hAnsi="Arial" w:cs="Arial"/>
              <w:color w:val="4472C4" w:themeColor="accent1"/>
            </w:rPr>
            <w:alias w:val="Date:"/>
            <w:tag w:val="Date:"/>
            <w:id w:val="-2052519928"/>
            <w:placeholder>
              <w:docPart w:val="8E6D49E7EAEF4FB8A47FEA332A3CE1A9"/>
            </w:placeholder>
            <w:temporary/>
            <w:showingPlcHdr/>
            <w15:appearance w15:val="hidden"/>
          </w:sdtPr>
          <w:sdtEndPr/>
          <w:sdtContent>
            <w:tc>
              <w:tcPr>
                <w:tcW w:w="1218" w:type="dxa"/>
              </w:tcPr>
              <w:p w14:paraId="13A645B2" w14:textId="77777777" w:rsidR="004B1BB7" w:rsidRPr="0002472F" w:rsidRDefault="004B1BB7" w:rsidP="00DD3C62">
                <w:pPr>
                  <w:cnfStyle w:val="001000000000" w:firstRow="0" w:lastRow="0" w:firstColumn="1" w:lastColumn="0" w:oddVBand="0" w:evenVBand="0" w:oddHBand="0" w:evenHBand="0" w:firstRowFirstColumn="0" w:firstRowLastColumn="0" w:lastRowFirstColumn="0" w:lastRowLastColumn="0"/>
                  <w:rPr>
                    <w:rFonts w:ascii="Arial" w:hAnsi="Arial" w:cs="Arial"/>
                    <w:color w:val="4472C4" w:themeColor="accent1"/>
                  </w:rPr>
                </w:pPr>
                <w:r w:rsidRPr="0002472F">
                  <w:rPr>
                    <w:rFonts w:ascii="Arial" w:hAnsi="Arial" w:cs="Arial"/>
                    <w:color w:val="4472C4" w:themeColor="accent1"/>
                  </w:rPr>
                  <w:t>Date:</w:t>
                </w:r>
              </w:p>
            </w:tc>
          </w:sdtContent>
        </w:sdt>
        <w:tc>
          <w:tcPr>
            <w:tcW w:w="8232" w:type="dxa"/>
          </w:tcPr>
          <w:p w14:paraId="7472B2DC" w14:textId="27C5DCA1" w:rsidR="004B1BB7" w:rsidRPr="00DD3C62" w:rsidRDefault="00CD3BEF" w:rsidP="00DD3C62">
            <w:pPr>
              <w:rPr>
                <w:rFonts w:ascii="Arial" w:hAnsi="Arial" w:cs="Arial"/>
                <w:color w:val="4472C4" w:themeColor="accent1"/>
              </w:rPr>
            </w:pPr>
            <w:r>
              <w:rPr>
                <w:rFonts w:ascii="Arial" w:hAnsi="Arial" w:cs="Arial"/>
                <w:color w:val="4472C4" w:themeColor="accent1"/>
              </w:rPr>
              <w:t>11</w:t>
            </w:r>
            <w:r w:rsidR="0002472F" w:rsidRPr="00DD3C62">
              <w:rPr>
                <w:rFonts w:ascii="Arial" w:hAnsi="Arial" w:cs="Arial"/>
                <w:color w:val="4472C4" w:themeColor="accent1"/>
              </w:rPr>
              <w:t xml:space="preserve"> March 2022</w:t>
            </w:r>
          </w:p>
          <w:p w14:paraId="6CCC87FE" w14:textId="33523973" w:rsidR="00F21C88" w:rsidRPr="0002472F" w:rsidRDefault="00F21C88" w:rsidP="00DD3C62">
            <w:pPr>
              <w:rPr>
                <w:rFonts w:ascii="Arial" w:hAnsi="Arial" w:cs="Arial"/>
                <w:color w:val="4472C4" w:themeColor="accent1"/>
              </w:rPr>
            </w:pPr>
          </w:p>
        </w:tc>
      </w:tr>
      <w:tr w:rsidR="004B1BB7" w14:paraId="1F2C0A65" w14:textId="77777777" w:rsidTr="009F1D9D">
        <w:sdt>
          <w:sdtPr>
            <w:rPr>
              <w:rFonts w:ascii="Arial" w:hAnsi="Arial" w:cs="Arial"/>
              <w:color w:val="4472C4" w:themeColor="accent1"/>
              <w:sz w:val="22"/>
              <w:szCs w:val="22"/>
              <w:shd w:val="clear" w:color="auto" w:fill="E6E6E6"/>
            </w:rPr>
            <w:alias w:val="Re:"/>
            <w:tag w:val="Re:"/>
            <w:id w:val="-1435443775"/>
            <w:placeholder>
              <w:docPart w:val="45616438E2B9435DA639AE9A911BCCDC"/>
            </w:placeholder>
            <w:temporary/>
            <w:showingPlcHdr/>
            <w15:appearance w15:val="hidden"/>
          </w:sdtPr>
          <w:sdtEndPr>
            <w:rPr>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1218" w:type="dxa"/>
                <w:tcMar>
                  <w:left w:w="0" w:type="dxa"/>
                  <w:bottom w:w="288" w:type="dxa"/>
                  <w:right w:w="0" w:type="dxa"/>
                </w:tcMar>
              </w:tcPr>
              <w:p w14:paraId="31A11EDE" w14:textId="77777777" w:rsidR="004B1BB7" w:rsidRPr="0002472F" w:rsidRDefault="004B1BB7" w:rsidP="00033E8E">
                <w:pPr>
                  <w:pStyle w:val="Heading1"/>
                  <w:spacing w:before="0"/>
                  <w:contextualSpacing w:val="0"/>
                  <w:outlineLvl w:val="0"/>
                  <w:rPr>
                    <w:rFonts w:ascii="Arial" w:hAnsi="Arial" w:cs="Arial"/>
                    <w:color w:val="4472C4" w:themeColor="accent1"/>
                    <w:sz w:val="22"/>
                    <w:szCs w:val="22"/>
                  </w:rPr>
                </w:pPr>
                <w:r w:rsidRPr="0002472F">
                  <w:rPr>
                    <w:rFonts w:ascii="Arial" w:hAnsi="Arial" w:cs="Arial"/>
                    <w:color w:val="4472C4" w:themeColor="accent1"/>
                    <w:sz w:val="22"/>
                    <w:szCs w:val="22"/>
                  </w:rPr>
                  <w:t>Re:</w:t>
                </w:r>
              </w:p>
            </w:tc>
          </w:sdtContent>
        </w:sdt>
        <w:tc>
          <w:tcPr>
            <w:tcW w:w="8232" w:type="dxa"/>
            <w:tcMar>
              <w:left w:w="0" w:type="dxa"/>
              <w:bottom w:w="288" w:type="dxa"/>
              <w:right w:w="0" w:type="dxa"/>
            </w:tcMar>
          </w:tcPr>
          <w:p w14:paraId="4D7F8805" w14:textId="3A26B822" w:rsidR="004B1BB7" w:rsidRPr="0002472F" w:rsidRDefault="0002472F"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4472C4" w:themeColor="accent1"/>
                <w:shd w:val="clear" w:color="auto" w:fill="E6E6E6"/>
              </w:rPr>
            </w:pPr>
            <w:r w:rsidRPr="0002472F">
              <w:rPr>
                <w:rFonts w:ascii="Arial" w:hAnsi="Arial" w:cs="Arial"/>
                <w:color w:val="4472C4" w:themeColor="accent1"/>
              </w:rPr>
              <w:t>IoT (Internet of Things) and IoMT (Internet of Medical Things)</w:t>
            </w:r>
          </w:p>
          <w:p w14:paraId="0D29FF19" w14:textId="1CFA6849" w:rsidR="00F21C88" w:rsidRPr="0002472F" w:rsidRDefault="00F21C88" w:rsidP="00033E8E">
            <w:pPr>
              <w:spacing w:before="0"/>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4472C4" w:themeColor="accent1"/>
              </w:rPr>
            </w:pPr>
          </w:p>
        </w:tc>
      </w:tr>
    </w:tbl>
    <w:p w14:paraId="591D458C" w14:textId="7B65158B" w:rsidR="00033E8E" w:rsidRPr="009F1D9D" w:rsidRDefault="009F1D9D" w:rsidP="3A1F0301">
      <w:pPr>
        <w:spacing w:line="257" w:lineRule="auto"/>
        <w:rPr>
          <w:rFonts w:ascii="Arial" w:eastAsia="Arial" w:hAnsi="Arial" w:cs="Arial"/>
          <w:b/>
          <w:bCs/>
          <w:sz w:val="24"/>
          <w:szCs w:val="24"/>
        </w:rPr>
      </w:pPr>
      <w:r w:rsidRPr="009F1D9D">
        <w:rPr>
          <w:rFonts w:ascii="Arial" w:hAnsi="Arial" w:cs="Arial"/>
        </w:rPr>
        <w:t xml:space="preserve">The following memo will </w:t>
      </w:r>
      <w:r w:rsidR="00DD3C62">
        <w:rPr>
          <w:rFonts w:ascii="Arial" w:hAnsi="Arial" w:cs="Arial"/>
        </w:rPr>
        <w:t>describe the multiple devices</w:t>
      </w:r>
      <w:r w:rsidRPr="009F1D9D">
        <w:rPr>
          <w:rFonts w:ascii="Arial" w:hAnsi="Arial" w:cs="Arial"/>
        </w:rPr>
        <w:t xml:space="preserve"> utilized in the </w:t>
      </w:r>
      <w:r w:rsidR="00A316EE">
        <w:rPr>
          <w:rFonts w:ascii="Arial" w:hAnsi="Arial" w:cs="Arial"/>
        </w:rPr>
        <w:t>H</w:t>
      </w:r>
      <w:r w:rsidRPr="009F1D9D">
        <w:rPr>
          <w:rFonts w:ascii="Arial" w:hAnsi="Arial" w:cs="Arial"/>
        </w:rPr>
        <w:t>ospital</w:t>
      </w:r>
      <w:r w:rsidR="00DD3C62" w:rsidRPr="00DD3C62">
        <w:rPr>
          <w:rFonts w:ascii="Arial" w:hAnsi="Arial" w:cs="Arial"/>
        </w:rPr>
        <w:t xml:space="preserve">, identify discovered vulnerabilities, and </w:t>
      </w:r>
      <w:r w:rsidRPr="009F1D9D">
        <w:rPr>
          <w:rFonts w:ascii="Arial" w:hAnsi="Arial" w:cs="Arial"/>
        </w:rPr>
        <w:t>secure those vulnerabilities.</w:t>
      </w:r>
    </w:p>
    <w:p w14:paraId="1E89C534" w14:textId="589B4016" w:rsidR="2324F199" w:rsidRDefault="3A1F0301" w:rsidP="3A1F0301">
      <w:pPr>
        <w:spacing w:line="257" w:lineRule="auto"/>
        <w:rPr>
          <w:rFonts w:ascii="Arial" w:eastAsia="Arial" w:hAnsi="Arial" w:cs="Arial"/>
          <w:b/>
          <w:bCs/>
          <w:sz w:val="24"/>
          <w:szCs w:val="24"/>
        </w:rPr>
      </w:pPr>
      <w:r w:rsidRPr="3A1F0301">
        <w:rPr>
          <w:rFonts w:ascii="Arial" w:eastAsia="Arial" w:hAnsi="Arial" w:cs="Arial"/>
          <w:b/>
          <w:bCs/>
          <w:sz w:val="24"/>
          <w:szCs w:val="24"/>
        </w:rPr>
        <w:t xml:space="preserve">Device 1: </w:t>
      </w:r>
      <w:r w:rsidR="00EB2CB8" w:rsidRPr="00EB2CB8">
        <w:rPr>
          <w:rFonts w:ascii="Arial" w:eastAsia="Arial" w:hAnsi="Arial" w:cs="Arial"/>
          <w:sz w:val="24"/>
          <w:szCs w:val="24"/>
        </w:rPr>
        <w:t>Alaris Plus medical syringe pumps</w:t>
      </w:r>
    </w:p>
    <w:p w14:paraId="6227FF3F" w14:textId="5832AD4D" w:rsidR="2324F199" w:rsidRDefault="002A0A87" w:rsidP="002A0A87">
      <w:pPr>
        <w:spacing w:line="257" w:lineRule="auto"/>
        <w:rPr>
          <w:rFonts w:ascii="Arial" w:eastAsia="Arial" w:hAnsi="Arial" w:cs="Arial"/>
          <w:sz w:val="24"/>
          <w:szCs w:val="24"/>
        </w:rPr>
      </w:pPr>
      <w:r>
        <w:rPr>
          <w:rFonts w:ascii="Arial" w:eastAsia="Arial" w:hAnsi="Arial" w:cs="Arial"/>
          <w:sz w:val="24"/>
          <w:szCs w:val="24"/>
        </w:rPr>
        <w:t>Include:</w:t>
      </w:r>
    </w:p>
    <w:p w14:paraId="50EFAB99" w14:textId="25DD2BED" w:rsidR="00866EB1" w:rsidRPr="00EB2CB8" w:rsidRDefault="00EB2CB8" w:rsidP="00EB2CB8">
      <w:pPr>
        <w:pStyle w:val="ListParagraph"/>
        <w:numPr>
          <w:ilvl w:val="0"/>
          <w:numId w:val="5"/>
        </w:numPr>
        <w:spacing w:line="257" w:lineRule="auto"/>
        <w:rPr>
          <w:rFonts w:ascii="Arial" w:eastAsia="Arial" w:hAnsi="Arial" w:cs="Arial"/>
          <w:sz w:val="24"/>
          <w:szCs w:val="24"/>
        </w:rPr>
      </w:pPr>
      <w:r w:rsidRPr="00EB2CB8">
        <w:rPr>
          <w:rFonts w:ascii="Arial" w:eastAsia="Arial" w:hAnsi="Arial" w:cs="Arial"/>
          <w:sz w:val="24"/>
          <w:szCs w:val="24"/>
        </w:rPr>
        <w:t>The Alaris™ GH Plus syringe pump offers a range of features suited to drug therapy, blood</w:t>
      </w:r>
      <w:r>
        <w:rPr>
          <w:rFonts w:ascii="Arial" w:eastAsia="Arial" w:hAnsi="Arial" w:cs="Arial"/>
          <w:sz w:val="24"/>
          <w:szCs w:val="24"/>
        </w:rPr>
        <w:t>,</w:t>
      </w:r>
      <w:r w:rsidRPr="00EB2CB8">
        <w:rPr>
          <w:rFonts w:ascii="Arial" w:eastAsia="Arial" w:hAnsi="Arial" w:cs="Arial"/>
          <w:sz w:val="24"/>
          <w:szCs w:val="24"/>
        </w:rPr>
        <w:t xml:space="preserve"> and blood products, including </w:t>
      </w:r>
      <w:r w:rsidR="00A316EE">
        <w:rPr>
          <w:rFonts w:ascii="Arial" w:eastAsia="Arial" w:hAnsi="Arial" w:cs="Arial"/>
          <w:sz w:val="24"/>
          <w:szCs w:val="24"/>
        </w:rPr>
        <w:t xml:space="preserve">a </w:t>
      </w:r>
      <w:r w:rsidRPr="00EB2CB8">
        <w:rPr>
          <w:rFonts w:ascii="Arial" w:eastAsia="Arial" w:hAnsi="Arial" w:cs="Arial"/>
          <w:sz w:val="24"/>
          <w:szCs w:val="24"/>
        </w:rPr>
        <w:t>large, clear display, intuitive user interface, integrated design</w:t>
      </w:r>
      <w:r>
        <w:rPr>
          <w:rFonts w:ascii="Arial" w:eastAsia="Arial" w:hAnsi="Arial" w:cs="Arial"/>
          <w:sz w:val="24"/>
          <w:szCs w:val="24"/>
        </w:rPr>
        <w:t>,</w:t>
      </w:r>
      <w:r w:rsidRPr="00EB2CB8">
        <w:rPr>
          <w:rFonts w:ascii="Arial" w:eastAsia="Arial" w:hAnsi="Arial" w:cs="Arial"/>
          <w:sz w:val="24"/>
          <w:szCs w:val="24"/>
        </w:rPr>
        <w:t xml:space="preserve"> and </w:t>
      </w:r>
      <w:r>
        <w:rPr>
          <w:rFonts w:ascii="Arial" w:eastAsia="Arial" w:hAnsi="Arial" w:cs="Arial"/>
          <w:sz w:val="24"/>
          <w:szCs w:val="24"/>
        </w:rPr>
        <w:t xml:space="preserve">a </w:t>
      </w:r>
      <w:r w:rsidRPr="00EB2CB8">
        <w:rPr>
          <w:rFonts w:ascii="Arial" w:eastAsia="Arial" w:hAnsi="Arial" w:cs="Arial"/>
          <w:sz w:val="24"/>
          <w:szCs w:val="24"/>
        </w:rPr>
        <w:t>wide range of specialty infusion sets</w:t>
      </w:r>
      <w:r>
        <w:rPr>
          <w:rFonts w:ascii="Arial" w:eastAsia="Arial" w:hAnsi="Arial" w:cs="Arial"/>
          <w:sz w:val="24"/>
          <w:szCs w:val="24"/>
        </w:rPr>
        <w:t xml:space="preserve"> </w:t>
      </w:r>
      <w:r w:rsidRPr="00EB2CB8">
        <w:rPr>
          <w:rFonts w:ascii="Arial" w:eastAsia="Arial" w:hAnsi="Arial" w:cs="Arial"/>
          <w:sz w:val="24"/>
          <w:szCs w:val="24"/>
        </w:rPr>
        <w:t xml:space="preserve">(Becton, </w:t>
      </w:r>
      <w:proofErr w:type="gramStart"/>
      <w:r w:rsidRPr="00EB2CB8">
        <w:rPr>
          <w:rFonts w:ascii="Arial" w:eastAsia="Arial" w:hAnsi="Arial" w:cs="Arial"/>
          <w:sz w:val="24"/>
          <w:szCs w:val="24"/>
        </w:rPr>
        <w:t>Dickinson</w:t>
      </w:r>
      <w:proofErr w:type="gramEnd"/>
      <w:r w:rsidRPr="00EB2CB8">
        <w:rPr>
          <w:rFonts w:ascii="Arial" w:eastAsia="Arial" w:hAnsi="Arial" w:cs="Arial"/>
          <w:sz w:val="24"/>
          <w:szCs w:val="24"/>
        </w:rPr>
        <w:t xml:space="preserve"> and Company, n.d.).</w:t>
      </w:r>
    </w:p>
    <w:p w14:paraId="7CE0FE61" w14:textId="77777777" w:rsidR="00EB2CB8" w:rsidRPr="00866EB1" w:rsidRDefault="00EB2CB8" w:rsidP="00866EB1">
      <w:pPr>
        <w:pStyle w:val="ListParagraph"/>
        <w:spacing w:line="257" w:lineRule="auto"/>
        <w:rPr>
          <w:rFonts w:ascii="Arial" w:eastAsia="Arial" w:hAnsi="Arial" w:cs="Arial"/>
          <w:sz w:val="24"/>
          <w:szCs w:val="24"/>
        </w:rPr>
      </w:pPr>
    </w:p>
    <w:p w14:paraId="12E64215" w14:textId="30EADDB1" w:rsidR="00A870CB" w:rsidRPr="00A870CB" w:rsidRDefault="00D00E83" w:rsidP="00A870CB">
      <w:pPr>
        <w:pStyle w:val="ListParagraph"/>
        <w:numPr>
          <w:ilvl w:val="0"/>
          <w:numId w:val="3"/>
        </w:numPr>
        <w:rPr>
          <w:rFonts w:ascii="Verdana" w:hAnsi="Verdana"/>
          <w:color w:val="000000"/>
          <w:shd w:val="clear" w:color="auto" w:fill="FFFFFF"/>
        </w:rPr>
      </w:pPr>
      <w:r w:rsidRPr="00A870CB">
        <w:rPr>
          <w:rFonts w:ascii="Arial" w:eastAsia="Arial" w:hAnsi="Arial" w:cs="Arial"/>
          <w:sz w:val="24"/>
          <w:szCs w:val="24"/>
        </w:rPr>
        <w:t>CVE-2022-23612-</w:t>
      </w:r>
      <w:r w:rsidR="00A870CB" w:rsidRPr="00A870CB">
        <w:rPr>
          <w:rFonts w:ascii="Verdana" w:hAnsi="Verdana"/>
          <w:color w:val="000000"/>
          <w:shd w:val="clear" w:color="auto" w:fill="FFFFFF"/>
        </w:rPr>
        <w:t>Becton, Dickinson</w:t>
      </w:r>
      <w:r w:rsidR="00A316EE">
        <w:rPr>
          <w:rFonts w:ascii="Verdana" w:hAnsi="Verdana"/>
          <w:color w:val="000000"/>
          <w:shd w:val="clear" w:color="auto" w:fill="FFFFFF"/>
        </w:rPr>
        <w:t>,</w:t>
      </w:r>
      <w:r w:rsidR="00A870CB" w:rsidRPr="00A870CB">
        <w:rPr>
          <w:rFonts w:ascii="Verdana" w:hAnsi="Verdana"/>
          <w:color w:val="000000"/>
          <w:shd w:val="clear" w:color="auto" w:fill="FFFFFF"/>
        </w:rPr>
        <w:t xml:space="preserve"> and Company (BD) Alaris Plus medical syringe pumps (models Alaris GS, Alaris GH, Alaris CC, and Alaris TIVA) versions 2.3.6 and prior are affected by an improper authentication vulnerability where the software does not perform authentication for functionality that requires a provable user identity, where it may allow a remote attacker to gain unauthorized access to various Alaris Syringe pumps and impact the intended operation of the pump when it is connected to a terminal server via the serial port</w:t>
      </w:r>
      <w:r w:rsidR="00A870CB">
        <w:rPr>
          <w:rFonts w:ascii="Verdana" w:hAnsi="Verdana"/>
          <w:color w:val="000000"/>
          <w:shd w:val="clear" w:color="auto" w:fill="FFFFFF"/>
        </w:rPr>
        <w:t xml:space="preserve"> </w:t>
      </w:r>
      <w:r w:rsidR="00A870CB" w:rsidRPr="00A870CB">
        <w:rPr>
          <w:rFonts w:ascii="Verdana" w:hAnsi="Verdana"/>
          <w:color w:val="000000"/>
          <w:shd w:val="clear" w:color="auto" w:fill="FFFFFF"/>
        </w:rPr>
        <w:t>(CVE, 2018).</w:t>
      </w:r>
    </w:p>
    <w:p w14:paraId="7B5FEA66" w14:textId="77777777" w:rsidR="00D00E83" w:rsidRPr="002A0A87" w:rsidRDefault="00D00E83" w:rsidP="00D00E83">
      <w:pPr>
        <w:pStyle w:val="ListParagraph"/>
        <w:spacing w:line="257" w:lineRule="auto"/>
        <w:rPr>
          <w:rFonts w:ascii="Arial" w:eastAsia="Arial" w:hAnsi="Arial" w:cs="Arial"/>
          <w:sz w:val="24"/>
          <w:szCs w:val="24"/>
        </w:rPr>
      </w:pPr>
    </w:p>
    <w:p w14:paraId="696A55D7" w14:textId="3D47AACA" w:rsidR="00A870CB" w:rsidRPr="00A870CB" w:rsidRDefault="00A870CB" w:rsidP="00A870CB">
      <w:pPr>
        <w:pStyle w:val="ListParagraph"/>
        <w:numPr>
          <w:ilvl w:val="0"/>
          <w:numId w:val="3"/>
        </w:numPr>
        <w:spacing w:line="257" w:lineRule="auto"/>
        <w:rPr>
          <w:rFonts w:ascii="Arial" w:eastAsia="Arial" w:hAnsi="Arial" w:cs="Arial"/>
          <w:sz w:val="24"/>
          <w:szCs w:val="24"/>
        </w:rPr>
      </w:pPr>
      <w:r w:rsidRPr="00A870CB">
        <w:rPr>
          <w:rFonts w:ascii="Arial" w:eastAsia="Arial" w:hAnsi="Arial" w:cs="Arial"/>
          <w:sz w:val="24"/>
          <w:szCs w:val="24"/>
        </w:rPr>
        <w:t xml:space="preserve">BD recommends the following mitigations and compensating controls to reduce </w:t>
      </w:r>
      <w:r>
        <w:rPr>
          <w:rFonts w:ascii="Arial" w:eastAsia="Arial" w:hAnsi="Arial" w:cs="Arial"/>
          <w:sz w:val="24"/>
          <w:szCs w:val="24"/>
        </w:rPr>
        <w:t xml:space="preserve">the </w:t>
      </w:r>
      <w:r w:rsidRPr="00A870CB">
        <w:rPr>
          <w:rFonts w:ascii="Arial" w:eastAsia="Arial" w:hAnsi="Arial" w:cs="Arial"/>
          <w:sz w:val="24"/>
          <w:szCs w:val="24"/>
        </w:rPr>
        <w:t>risk associated with this vulnerability</w:t>
      </w:r>
      <w:r w:rsidR="00B16FC7">
        <w:rPr>
          <w:rFonts w:ascii="Arial" w:eastAsia="Arial" w:hAnsi="Arial" w:cs="Arial"/>
          <w:sz w:val="24"/>
          <w:szCs w:val="24"/>
        </w:rPr>
        <w:t xml:space="preserve"> </w:t>
      </w:r>
      <w:r w:rsidR="00B16FC7" w:rsidRPr="00B16FC7">
        <w:rPr>
          <w:rFonts w:ascii="Arial" w:eastAsia="Arial" w:hAnsi="Arial" w:cs="Arial"/>
          <w:sz w:val="24"/>
          <w:szCs w:val="24"/>
        </w:rPr>
        <w:t>(CISA, 2018)</w:t>
      </w:r>
      <w:r w:rsidRPr="00A870CB">
        <w:rPr>
          <w:rFonts w:ascii="Arial" w:eastAsia="Arial" w:hAnsi="Arial" w:cs="Arial"/>
          <w:sz w:val="24"/>
          <w:szCs w:val="24"/>
        </w:rPr>
        <w:t>:</w:t>
      </w:r>
    </w:p>
    <w:p w14:paraId="2F6C0EBF" w14:textId="381FCA27" w:rsidR="00A870CB" w:rsidRPr="00A870CB" w:rsidRDefault="00A870CB" w:rsidP="00A870CB">
      <w:pPr>
        <w:pStyle w:val="ListParagraph"/>
        <w:numPr>
          <w:ilvl w:val="1"/>
          <w:numId w:val="3"/>
        </w:numPr>
        <w:spacing w:line="257" w:lineRule="auto"/>
        <w:rPr>
          <w:rFonts w:ascii="Arial" w:eastAsia="Arial" w:hAnsi="Arial" w:cs="Arial"/>
          <w:sz w:val="24"/>
          <w:szCs w:val="24"/>
        </w:rPr>
      </w:pPr>
      <w:r w:rsidRPr="00A870CB">
        <w:rPr>
          <w:rFonts w:ascii="Arial" w:eastAsia="Arial" w:hAnsi="Arial" w:cs="Arial"/>
          <w:sz w:val="24"/>
          <w:szCs w:val="24"/>
        </w:rPr>
        <w:t>This attack utilizes a known vulnerability in terminal servers. Users who utilize terminal servers should understand that terminal server use is not supported</w:t>
      </w:r>
      <w:r w:rsidR="00B16FC7">
        <w:rPr>
          <w:rFonts w:ascii="Arial" w:eastAsia="Arial" w:hAnsi="Arial" w:cs="Arial"/>
          <w:sz w:val="24"/>
          <w:szCs w:val="24"/>
        </w:rPr>
        <w:t xml:space="preserve"> </w:t>
      </w:r>
      <w:r w:rsidR="00B16FC7" w:rsidRPr="00B16FC7">
        <w:rPr>
          <w:rFonts w:ascii="Arial" w:eastAsia="Arial" w:hAnsi="Arial" w:cs="Arial"/>
          <w:sz w:val="24"/>
          <w:szCs w:val="24"/>
        </w:rPr>
        <w:t>(CISA, 2018)</w:t>
      </w:r>
      <w:r w:rsidRPr="00A870CB">
        <w:rPr>
          <w:rFonts w:ascii="Arial" w:eastAsia="Arial" w:hAnsi="Arial" w:cs="Arial"/>
          <w:sz w:val="24"/>
          <w:szCs w:val="24"/>
        </w:rPr>
        <w:t xml:space="preserve">.  </w:t>
      </w:r>
    </w:p>
    <w:p w14:paraId="5F7E6F9B" w14:textId="7BA9B208" w:rsidR="00A870CB" w:rsidRPr="00A870CB" w:rsidRDefault="00A870CB" w:rsidP="00A870CB">
      <w:pPr>
        <w:pStyle w:val="ListParagraph"/>
        <w:numPr>
          <w:ilvl w:val="1"/>
          <w:numId w:val="3"/>
        </w:numPr>
        <w:spacing w:line="257" w:lineRule="auto"/>
        <w:rPr>
          <w:rFonts w:ascii="Arial" w:eastAsia="Arial" w:hAnsi="Arial" w:cs="Arial"/>
          <w:sz w:val="24"/>
          <w:szCs w:val="24"/>
        </w:rPr>
      </w:pPr>
      <w:r w:rsidRPr="00A870CB">
        <w:rPr>
          <w:rFonts w:ascii="Arial" w:eastAsia="Arial" w:hAnsi="Arial" w:cs="Arial"/>
          <w:sz w:val="24"/>
          <w:szCs w:val="24"/>
        </w:rPr>
        <w:t>Users should ensure they are operating these devices in a segmented network environment or as a stand-alone device</w:t>
      </w:r>
      <w:r w:rsidR="00B16FC7">
        <w:rPr>
          <w:rFonts w:ascii="Arial" w:eastAsia="Arial" w:hAnsi="Arial" w:cs="Arial"/>
          <w:sz w:val="24"/>
          <w:szCs w:val="24"/>
        </w:rPr>
        <w:t xml:space="preserve"> </w:t>
      </w:r>
      <w:r w:rsidR="00B16FC7" w:rsidRPr="00B16FC7">
        <w:rPr>
          <w:rFonts w:ascii="Arial" w:eastAsia="Arial" w:hAnsi="Arial" w:cs="Arial"/>
          <w:sz w:val="24"/>
          <w:szCs w:val="24"/>
        </w:rPr>
        <w:t>(CISA, 2018)</w:t>
      </w:r>
      <w:r w:rsidRPr="00A870CB">
        <w:rPr>
          <w:rFonts w:ascii="Arial" w:eastAsia="Arial" w:hAnsi="Arial" w:cs="Arial"/>
          <w:sz w:val="24"/>
          <w:szCs w:val="24"/>
        </w:rPr>
        <w:t>.</w:t>
      </w:r>
    </w:p>
    <w:p w14:paraId="108C6C52" w14:textId="7B8C2377" w:rsidR="00A870CB" w:rsidRPr="00A870CB" w:rsidRDefault="00A870CB" w:rsidP="00A870CB">
      <w:pPr>
        <w:pStyle w:val="ListParagraph"/>
        <w:numPr>
          <w:ilvl w:val="1"/>
          <w:numId w:val="3"/>
        </w:numPr>
        <w:spacing w:line="257" w:lineRule="auto"/>
        <w:rPr>
          <w:rFonts w:ascii="Arial" w:eastAsia="Arial" w:hAnsi="Arial" w:cs="Arial"/>
          <w:sz w:val="24"/>
          <w:szCs w:val="24"/>
        </w:rPr>
      </w:pPr>
      <w:r w:rsidRPr="00A870CB">
        <w:rPr>
          <w:rFonts w:ascii="Arial" w:eastAsia="Arial" w:hAnsi="Arial" w:cs="Arial"/>
          <w:sz w:val="24"/>
          <w:szCs w:val="24"/>
        </w:rPr>
        <w:t xml:space="preserve">Users should utilize connections via the Alaris Gateway Workstation docking station, which would inactivate the </w:t>
      </w:r>
      <w:r w:rsidR="00B16FC7" w:rsidRPr="00A870CB">
        <w:rPr>
          <w:rFonts w:ascii="Arial" w:eastAsia="Arial" w:hAnsi="Arial" w:cs="Arial"/>
          <w:sz w:val="24"/>
          <w:szCs w:val="24"/>
        </w:rPr>
        <w:t>remote-control</w:t>
      </w:r>
      <w:r w:rsidRPr="00A870CB">
        <w:rPr>
          <w:rFonts w:ascii="Arial" w:eastAsia="Arial" w:hAnsi="Arial" w:cs="Arial"/>
          <w:sz w:val="24"/>
          <w:szCs w:val="24"/>
        </w:rPr>
        <w:t xml:space="preserve"> feature</w:t>
      </w:r>
      <w:r w:rsidR="00B16FC7">
        <w:rPr>
          <w:rFonts w:ascii="Arial" w:eastAsia="Arial" w:hAnsi="Arial" w:cs="Arial"/>
          <w:sz w:val="24"/>
          <w:szCs w:val="24"/>
        </w:rPr>
        <w:t xml:space="preserve"> </w:t>
      </w:r>
      <w:r w:rsidR="00B16FC7" w:rsidRPr="00B16FC7">
        <w:rPr>
          <w:rFonts w:ascii="Arial" w:eastAsia="Arial" w:hAnsi="Arial" w:cs="Arial"/>
          <w:sz w:val="24"/>
          <w:szCs w:val="24"/>
        </w:rPr>
        <w:t>(CISA, 2018)</w:t>
      </w:r>
      <w:r w:rsidRPr="00A870CB">
        <w:rPr>
          <w:rFonts w:ascii="Arial" w:eastAsia="Arial" w:hAnsi="Arial" w:cs="Arial"/>
          <w:sz w:val="24"/>
          <w:szCs w:val="24"/>
        </w:rPr>
        <w:t>.</w:t>
      </w:r>
    </w:p>
    <w:p w14:paraId="6DAB0F27" w14:textId="31EB5AC3" w:rsidR="5ABD324C" w:rsidRPr="00B16FC7" w:rsidRDefault="00B16FC7" w:rsidP="002A0A87">
      <w:pPr>
        <w:pStyle w:val="ListParagraph"/>
        <w:numPr>
          <w:ilvl w:val="0"/>
          <w:numId w:val="3"/>
        </w:numPr>
        <w:spacing w:line="257" w:lineRule="auto"/>
        <w:rPr>
          <w:rFonts w:ascii="Arial" w:eastAsia="Arial" w:hAnsi="Arial" w:cs="Arial"/>
          <w:sz w:val="24"/>
          <w:szCs w:val="24"/>
        </w:rPr>
      </w:pPr>
      <w:r>
        <w:rPr>
          <w:rFonts w:ascii="Arial" w:eastAsia="Arial" w:hAnsi="Arial" w:cs="Arial"/>
          <w:sz w:val="24"/>
          <w:szCs w:val="24"/>
        </w:rPr>
        <w:t xml:space="preserve">My recommendation to the Hospital </w:t>
      </w:r>
      <w:r w:rsidR="00A316EE">
        <w:rPr>
          <w:rFonts w:ascii="Arial" w:eastAsia="Arial" w:hAnsi="Arial" w:cs="Arial"/>
          <w:sz w:val="24"/>
          <w:szCs w:val="24"/>
        </w:rPr>
        <w:t>is</w:t>
      </w:r>
      <w:r>
        <w:rPr>
          <w:rFonts w:ascii="Arial" w:eastAsia="Arial" w:hAnsi="Arial" w:cs="Arial"/>
          <w:sz w:val="24"/>
          <w:szCs w:val="24"/>
        </w:rPr>
        <w:t xml:space="preserve"> to minimize any network exposure to all control systems associated with the </w:t>
      </w:r>
      <w:r w:rsidRPr="00EB2CB8">
        <w:rPr>
          <w:rFonts w:ascii="Arial" w:eastAsia="Arial" w:hAnsi="Arial" w:cs="Arial"/>
          <w:sz w:val="24"/>
          <w:szCs w:val="24"/>
        </w:rPr>
        <w:t>Alaris Plus medical syringe pumps</w:t>
      </w:r>
      <w:r w:rsidR="00972544" w:rsidRPr="00B16FC7">
        <w:rPr>
          <w:rFonts w:ascii="Arial" w:eastAsia="Arial" w:hAnsi="Arial" w:cs="Arial"/>
          <w:sz w:val="24"/>
          <w:szCs w:val="24"/>
        </w:rPr>
        <w:t>.</w:t>
      </w:r>
      <w:r>
        <w:rPr>
          <w:rFonts w:ascii="Arial" w:eastAsia="Arial" w:hAnsi="Arial" w:cs="Arial"/>
          <w:sz w:val="24"/>
          <w:szCs w:val="24"/>
        </w:rPr>
        <w:t xml:space="preserve"> The Hospital should also consider using VPNs within the network </w:t>
      </w:r>
      <w:r w:rsidR="00A316EE">
        <w:rPr>
          <w:rFonts w:ascii="Arial" w:eastAsia="Arial" w:hAnsi="Arial" w:cs="Arial"/>
          <w:sz w:val="24"/>
          <w:szCs w:val="24"/>
        </w:rPr>
        <w:t>on all systems</w:t>
      </w:r>
      <w:r>
        <w:rPr>
          <w:rFonts w:ascii="Arial" w:eastAsia="Arial" w:hAnsi="Arial" w:cs="Arial"/>
          <w:sz w:val="24"/>
          <w:szCs w:val="24"/>
        </w:rPr>
        <w:t xml:space="preserve"> </w:t>
      </w:r>
      <w:r>
        <w:rPr>
          <w:rFonts w:ascii="Arial" w:eastAsia="Arial" w:hAnsi="Arial" w:cs="Arial"/>
          <w:sz w:val="24"/>
          <w:szCs w:val="24"/>
        </w:rPr>
        <w:lastRenderedPageBreak/>
        <w:t xml:space="preserve">having to </w:t>
      </w:r>
      <w:r w:rsidR="00A316EE">
        <w:rPr>
          <w:rFonts w:ascii="Arial" w:eastAsia="Arial" w:hAnsi="Arial" w:cs="Arial"/>
          <w:sz w:val="24"/>
          <w:szCs w:val="24"/>
        </w:rPr>
        <w:t>access the network remotely. T</w:t>
      </w:r>
      <w:r>
        <w:rPr>
          <w:rFonts w:ascii="Arial" w:eastAsia="Arial" w:hAnsi="Arial" w:cs="Arial"/>
          <w:sz w:val="24"/>
          <w:szCs w:val="24"/>
        </w:rPr>
        <w:t xml:space="preserve">his also means </w:t>
      </w:r>
      <w:r w:rsidR="00A316EE">
        <w:rPr>
          <w:rFonts w:ascii="Arial" w:eastAsia="Arial" w:hAnsi="Arial" w:cs="Arial"/>
          <w:sz w:val="24"/>
          <w:szCs w:val="24"/>
        </w:rPr>
        <w:t>ensuring</w:t>
      </w:r>
      <w:r>
        <w:rPr>
          <w:rFonts w:ascii="Arial" w:eastAsia="Arial" w:hAnsi="Arial" w:cs="Arial"/>
          <w:sz w:val="24"/>
          <w:szCs w:val="24"/>
        </w:rPr>
        <w:t xml:space="preserve"> that all VPNs being used on the network should be up to date on all patches and updates. </w:t>
      </w:r>
      <w:r w:rsidR="00972544" w:rsidRPr="00B16FC7">
        <w:rPr>
          <w:rFonts w:ascii="Arial" w:eastAsia="Arial" w:hAnsi="Arial" w:cs="Arial"/>
          <w:sz w:val="24"/>
          <w:szCs w:val="24"/>
        </w:rPr>
        <w:t xml:space="preserve"> </w:t>
      </w:r>
    </w:p>
    <w:p w14:paraId="2214D541" w14:textId="77777777" w:rsidR="00033E8E" w:rsidRDefault="00033E8E" w:rsidP="29872C0C">
      <w:pPr>
        <w:spacing w:line="257" w:lineRule="auto"/>
        <w:rPr>
          <w:rFonts w:ascii="Arial" w:eastAsia="Arial" w:hAnsi="Arial" w:cs="Arial"/>
          <w:b/>
          <w:bCs/>
          <w:sz w:val="24"/>
          <w:szCs w:val="24"/>
        </w:rPr>
      </w:pPr>
    </w:p>
    <w:p w14:paraId="26B8408B" w14:textId="10DD3687" w:rsidR="2324F199" w:rsidRDefault="20EF57A0" w:rsidP="29872C0C">
      <w:pPr>
        <w:spacing w:line="257" w:lineRule="auto"/>
        <w:rPr>
          <w:rFonts w:ascii="Arial" w:eastAsia="Arial" w:hAnsi="Arial" w:cs="Arial"/>
          <w:b/>
          <w:bCs/>
          <w:sz w:val="24"/>
          <w:szCs w:val="24"/>
        </w:rPr>
      </w:pPr>
      <w:r w:rsidRPr="20EF57A0">
        <w:rPr>
          <w:rFonts w:ascii="Arial" w:eastAsia="Arial" w:hAnsi="Arial" w:cs="Arial"/>
          <w:b/>
          <w:bCs/>
          <w:sz w:val="24"/>
          <w:szCs w:val="24"/>
        </w:rPr>
        <w:t xml:space="preserve">Device 2: </w:t>
      </w:r>
      <w:r w:rsidR="00262BB8">
        <w:rPr>
          <w:rFonts w:ascii="Arial" w:eastAsia="Arial" w:hAnsi="Arial" w:cs="Arial"/>
          <w:sz w:val="24"/>
          <w:szCs w:val="24"/>
        </w:rPr>
        <w:t>Patient Monitoring System</w:t>
      </w:r>
      <w:r w:rsidR="00A316EE">
        <w:rPr>
          <w:rFonts w:ascii="Arial" w:eastAsia="Arial" w:hAnsi="Arial" w:cs="Arial"/>
          <w:sz w:val="24"/>
          <w:szCs w:val="24"/>
        </w:rPr>
        <w:t xml:space="preserve">s </w:t>
      </w:r>
    </w:p>
    <w:p w14:paraId="2DC4B426" w14:textId="77777777" w:rsidR="002A0A87" w:rsidRDefault="002A0A87" w:rsidP="002A0A87">
      <w:pPr>
        <w:spacing w:line="257" w:lineRule="auto"/>
        <w:rPr>
          <w:rFonts w:ascii="Arial" w:eastAsia="Arial" w:hAnsi="Arial" w:cs="Arial"/>
          <w:sz w:val="24"/>
          <w:szCs w:val="24"/>
        </w:rPr>
      </w:pPr>
      <w:r>
        <w:rPr>
          <w:rFonts w:ascii="Arial" w:eastAsia="Arial" w:hAnsi="Arial" w:cs="Arial"/>
          <w:sz w:val="24"/>
          <w:szCs w:val="24"/>
        </w:rPr>
        <w:t>Include:</w:t>
      </w:r>
    </w:p>
    <w:p w14:paraId="6E3FF410" w14:textId="291BAD89" w:rsidR="002A0A87" w:rsidRDefault="0020130E" w:rsidP="002A0A87">
      <w:pPr>
        <w:pStyle w:val="ListParagraph"/>
        <w:numPr>
          <w:ilvl w:val="0"/>
          <w:numId w:val="3"/>
        </w:numPr>
        <w:spacing w:line="257" w:lineRule="auto"/>
        <w:rPr>
          <w:rFonts w:ascii="Arial" w:eastAsia="Arial" w:hAnsi="Arial" w:cs="Arial"/>
          <w:sz w:val="24"/>
          <w:szCs w:val="24"/>
        </w:rPr>
      </w:pPr>
      <w:r w:rsidRPr="0020130E">
        <w:rPr>
          <w:rFonts w:ascii="Arial" w:eastAsia="Arial" w:hAnsi="Arial" w:cs="Arial"/>
          <w:sz w:val="24"/>
          <w:szCs w:val="24"/>
        </w:rPr>
        <w:t xml:space="preserve">Infinity Delta and Delta XL </w:t>
      </w:r>
      <w:r>
        <w:rPr>
          <w:rFonts w:ascii="Arial" w:eastAsia="Arial" w:hAnsi="Arial" w:cs="Arial"/>
          <w:sz w:val="24"/>
          <w:szCs w:val="24"/>
        </w:rPr>
        <w:t>incorporate</w:t>
      </w:r>
      <w:r w:rsidRPr="0020130E">
        <w:rPr>
          <w:rFonts w:ascii="Arial" w:eastAsia="Arial" w:hAnsi="Arial" w:cs="Arial"/>
          <w:sz w:val="24"/>
          <w:szCs w:val="24"/>
        </w:rPr>
        <w:t xml:space="preserve"> Dräger’s patented Pick and Go® technology, which enables this bedside monitor to double as a transport monitor within the </w:t>
      </w:r>
      <w:r w:rsidR="00A316EE">
        <w:rPr>
          <w:rFonts w:ascii="Arial" w:eastAsia="Arial" w:hAnsi="Arial" w:cs="Arial"/>
          <w:sz w:val="24"/>
          <w:szCs w:val="24"/>
        </w:rPr>
        <w:t>H</w:t>
      </w:r>
      <w:r w:rsidRPr="0020130E">
        <w:rPr>
          <w:rFonts w:ascii="Arial" w:eastAsia="Arial" w:hAnsi="Arial" w:cs="Arial"/>
          <w:sz w:val="24"/>
          <w:szCs w:val="24"/>
        </w:rPr>
        <w:t>ospital. Infinity monitors provide seamless wired-to-wireless networking, so surveillance can be continuous. There’s no waiting for a transport monitor. No disconnection or reconnection of leads. No gaps in monitoring or data acquisition. As a result, all parameters that were monitored at the bedside can continue to be monitored on transport</w:t>
      </w:r>
      <w:r w:rsidRPr="0020130E">
        <w:t xml:space="preserve"> </w:t>
      </w:r>
      <w:r w:rsidRPr="0020130E">
        <w:rPr>
          <w:rFonts w:ascii="Arial" w:eastAsia="Arial" w:hAnsi="Arial" w:cs="Arial"/>
          <w:sz w:val="24"/>
          <w:szCs w:val="24"/>
        </w:rPr>
        <w:t>(Drager, 2016).</w:t>
      </w:r>
    </w:p>
    <w:p w14:paraId="076FCD04" w14:textId="77777777" w:rsidR="00406F18" w:rsidRPr="002A0A87" w:rsidRDefault="00406F18" w:rsidP="00406F18">
      <w:pPr>
        <w:pStyle w:val="ListParagraph"/>
        <w:spacing w:line="257" w:lineRule="auto"/>
        <w:rPr>
          <w:rFonts w:ascii="Arial" w:eastAsia="Arial" w:hAnsi="Arial" w:cs="Arial"/>
          <w:sz w:val="24"/>
          <w:szCs w:val="24"/>
        </w:rPr>
      </w:pPr>
    </w:p>
    <w:p w14:paraId="067D285D" w14:textId="07614030" w:rsidR="00395216" w:rsidRDefault="00721C0C" w:rsidP="00395216">
      <w:pPr>
        <w:pStyle w:val="ListParagraph"/>
        <w:numPr>
          <w:ilvl w:val="0"/>
          <w:numId w:val="3"/>
        </w:numPr>
        <w:spacing w:line="257" w:lineRule="auto"/>
        <w:rPr>
          <w:rFonts w:ascii="Arial" w:eastAsia="Arial" w:hAnsi="Arial" w:cs="Arial"/>
          <w:sz w:val="24"/>
          <w:szCs w:val="24"/>
        </w:rPr>
      </w:pPr>
      <w:r w:rsidRPr="00721C0C">
        <w:rPr>
          <w:rFonts w:ascii="Arial" w:eastAsia="Arial" w:hAnsi="Arial" w:cs="Arial"/>
          <w:sz w:val="24"/>
          <w:szCs w:val="24"/>
        </w:rPr>
        <w:t>CVE-2018-19010</w:t>
      </w:r>
      <w:r w:rsidRPr="00721C0C">
        <w:rPr>
          <w:rFonts w:ascii="Arial" w:eastAsia="Arial" w:hAnsi="Arial" w:cs="Arial"/>
          <w:sz w:val="24"/>
          <w:szCs w:val="24"/>
        </w:rPr>
        <w:t xml:space="preserve"> </w:t>
      </w:r>
      <w:r w:rsidR="00395216">
        <w:rPr>
          <w:rFonts w:ascii="Arial" w:eastAsia="Arial" w:hAnsi="Arial" w:cs="Arial"/>
          <w:sz w:val="24"/>
          <w:szCs w:val="24"/>
        </w:rPr>
        <w:t>-</w:t>
      </w:r>
      <w:r w:rsidRPr="00721C0C">
        <w:t xml:space="preserve"> </w:t>
      </w:r>
      <w:r w:rsidRPr="00721C0C">
        <w:rPr>
          <w:rFonts w:ascii="Arial" w:eastAsia="Arial" w:hAnsi="Arial" w:cs="Arial"/>
          <w:sz w:val="24"/>
          <w:szCs w:val="24"/>
        </w:rPr>
        <w:t xml:space="preserve">Drager Infinity Delta, Infinity Delta, all versions, Delta XL, all versions, Kappa, all version, and Infinity Explorer C700, all versions. A malformed network packet may cause the monitor to reboot. By repeatedly sending the malformed network packet, an attacker may be able to disrupt patient monitoring by causing the monitor to repeatedly reboot until it falls back to </w:t>
      </w:r>
      <w:r>
        <w:rPr>
          <w:rFonts w:ascii="Arial" w:eastAsia="Arial" w:hAnsi="Arial" w:cs="Arial"/>
          <w:sz w:val="24"/>
          <w:szCs w:val="24"/>
        </w:rPr>
        <w:t xml:space="preserve">the </w:t>
      </w:r>
      <w:r w:rsidRPr="00721C0C">
        <w:rPr>
          <w:rFonts w:ascii="Arial" w:eastAsia="Arial" w:hAnsi="Arial" w:cs="Arial"/>
          <w:sz w:val="24"/>
          <w:szCs w:val="24"/>
        </w:rPr>
        <w:t>default configuration and loses network connectivity</w:t>
      </w:r>
      <w:r w:rsidRPr="00721C0C">
        <w:t xml:space="preserve"> </w:t>
      </w:r>
      <w:r w:rsidRPr="00721C0C">
        <w:rPr>
          <w:rFonts w:ascii="Arial" w:eastAsia="Arial" w:hAnsi="Arial" w:cs="Arial"/>
          <w:sz w:val="24"/>
          <w:szCs w:val="24"/>
        </w:rPr>
        <w:t>(CVE, 2018).</w:t>
      </w:r>
    </w:p>
    <w:p w14:paraId="2EE0FAB7" w14:textId="77777777" w:rsidR="00395216" w:rsidRPr="00395216" w:rsidRDefault="00395216" w:rsidP="00395216">
      <w:pPr>
        <w:pStyle w:val="ListParagraph"/>
        <w:rPr>
          <w:rFonts w:ascii="Arial" w:eastAsia="Arial" w:hAnsi="Arial" w:cs="Arial"/>
          <w:sz w:val="24"/>
          <w:szCs w:val="24"/>
        </w:rPr>
      </w:pPr>
    </w:p>
    <w:p w14:paraId="67A7714B" w14:textId="03C6ADAF" w:rsidR="00721C0C" w:rsidRPr="00721C0C" w:rsidRDefault="00721C0C" w:rsidP="00721C0C">
      <w:pPr>
        <w:pStyle w:val="ListParagraph"/>
        <w:numPr>
          <w:ilvl w:val="0"/>
          <w:numId w:val="3"/>
        </w:numPr>
        <w:rPr>
          <w:rFonts w:ascii="Arial" w:eastAsia="Arial" w:hAnsi="Arial" w:cs="Arial"/>
          <w:sz w:val="24"/>
          <w:szCs w:val="24"/>
        </w:rPr>
      </w:pPr>
      <w:r w:rsidRPr="00721C0C">
        <w:rPr>
          <w:rFonts w:ascii="Arial" w:eastAsia="Arial" w:hAnsi="Arial" w:cs="Arial"/>
          <w:sz w:val="24"/>
          <w:szCs w:val="24"/>
        </w:rPr>
        <w:t xml:space="preserve">Dräger released fixes for these </w:t>
      </w:r>
      <w:r>
        <w:rPr>
          <w:rFonts w:ascii="Arial" w:eastAsia="Arial" w:hAnsi="Arial" w:cs="Arial"/>
          <w:sz w:val="24"/>
          <w:szCs w:val="24"/>
        </w:rPr>
        <w:t>vulnerabilities in</w:t>
      </w:r>
      <w:r w:rsidRPr="00721C0C">
        <w:rPr>
          <w:rFonts w:ascii="Arial" w:eastAsia="Arial" w:hAnsi="Arial" w:cs="Arial"/>
          <w:sz w:val="24"/>
          <w:szCs w:val="24"/>
        </w:rPr>
        <w:t xml:space="preserve"> December 2018. Users can find Delta/Infinity Explorer VF10.1 software releases for affected components via Dräger </w:t>
      </w:r>
      <w:r w:rsidRPr="00721C0C">
        <w:rPr>
          <w:rFonts w:ascii="Arial" w:eastAsia="Arial" w:hAnsi="Arial" w:cs="Arial"/>
          <w:sz w:val="24"/>
          <w:szCs w:val="24"/>
        </w:rPr>
        <w:t>Service Connect</w:t>
      </w:r>
      <w:r w:rsidR="0020130E" w:rsidRPr="0020130E">
        <w:t xml:space="preserve"> </w:t>
      </w:r>
      <w:r w:rsidR="0020130E" w:rsidRPr="0020130E">
        <w:rPr>
          <w:rFonts w:ascii="Arial" w:eastAsia="Arial" w:hAnsi="Arial" w:cs="Arial"/>
          <w:sz w:val="24"/>
          <w:szCs w:val="24"/>
        </w:rPr>
        <w:t>(CISA, 2019)</w:t>
      </w:r>
      <w:r w:rsidRPr="00721C0C">
        <w:rPr>
          <w:rFonts w:ascii="Arial" w:eastAsia="Arial" w:hAnsi="Arial" w:cs="Arial"/>
          <w:sz w:val="24"/>
          <w:szCs w:val="24"/>
        </w:rPr>
        <w:t>.</w:t>
      </w:r>
    </w:p>
    <w:p w14:paraId="7D379975" w14:textId="77777777" w:rsidR="00721C0C" w:rsidRDefault="00721C0C" w:rsidP="00721C0C">
      <w:pPr>
        <w:pStyle w:val="ListParagraph"/>
        <w:rPr>
          <w:rFonts w:ascii="Arial" w:eastAsia="Arial" w:hAnsi="Arial" w:cs="Arial"/>
          <w:sz w:val="24"/>
          <w:szCs w:val="24"/>
        </w:rPr>
      </w:pPr>
    </w:p>
    <w:p w14:paraId="1DB2449B" w14:textId="09222023" w:rsidR="00721C0C" w:rsidRPr="00721C0C" w:rsidRDefault="00721C0C" w:rsidP="00721C0C">
      <w:pPr>
        <w:pStyle w:val="ListParagraph"/>
        <w:rPr>
          <w:rFonts w:ascii="Arial" w:eastAsia="Arial" w:hAnsi="Arial" w:cs="Arial"/>
          <w:sz w:val="24"/>
          <w:szCs w:val="24"/>
        </w:rPr>
      </w:pPr>
      <w:r w:rsidRPr="00721C0C">
        <w:rPr>
          <w:rFonts w:ascii="Arial" w:eastAsia="Arial" w:hAnsi="Arial" w:cs="Arial"/>
          <w:sz w:val="24"/>
          <w:szCs w:val="24"/>
        </w:rPr>
        <w:t>Dräger further advises:</w:t>
      </w:r>
    </w:p>
    <w:p w14:paraId="5AFEB989" w14:textId="48496827" w:rsidR="00721C0C" w:rsidRDefault="00721C0C" w:rsidP="00721C0C">
      <w:pPr>
        <w:pStyle w:val="ListParagraph"/>
        <w:numPr>
          <w:ilvl w:val="1"/>
          <w:numId w:val="3"/>
        </w:numPr>
        <w:rPr>
          <w:rFonts w:ascii="Arial" w:eastAsia="Arial" w:hAnsi="Arial" w:cs="Arial"/>
          <w:sz w:val="24"/>
          <w:szCs w:val="24"/>
        </w:rPr>
      </w:pPr>
      <w:r w:rsidRPr="00721C0C">
        <w:rPr>
          <w:rFonts w:ascii="Arial" w:eastAsia="Arial" w:hAnsi="Arial" w:cs="Arial"/>
          <w:sz w:val="24"/>
          <w:szCs w:val="24"/>
        </w:rPr>
        <w:t xml:space="preserve">Users are advised to review their network segmentation configuration. The Dräger </w:t>
      </w:r>
      <w:r>
        <w:rPr>
          <w:rFonts w:ascii="Arial" w:eastAsia="Arial" w:hAnsi="Arial" w:cs="Arial"/>
          <w:sz w:val="24"/>
          <w:szCs w:val="24"/>
        </w:rPr>
        <w:t>Infinity Network</w:t>
      </w:r>
      <w:r w:rsidRPr="00721C0C">
        <w:rPr>
          <w:rFonts w:ascii="Arial" w:eastAsia="Arial" w:hAnsi="Arial" w:cs="Arial"/>
          <w:sz w:val="24"/>
          <w:szCs w:val="24"/>
        </w:rPr>
        <w:t xml:space="preserve"> is supposed to be either logically or physically separate from the hospital LAN</w:t>
      </w:r>
      <w:r w:rsidR="0020130E" w:rsidRPr="0020130E">
        <w:t xml:space="preserve"> </w:t>
      </w:r>
      <w:r w:rsidR="0020130E" w:rsidRPr="0020130E">
        <w:rPr>
          <w:rFonts w:ascii="Arial" w:eastAsia="Arial" w:hAnsi="Arial" w:cs="Arial"/>
          <w:sz w:val="24"/>
          <w:szCs w:val="24"/>
        </w:rPr>
        <w:t>(CISA, 2019)</w:t>
      </w:r>
      <w:r w:rsidR="0020130E">
        <w:rPr>
          <w:rFonts w:ascii="Arial" w:eastAsia="Arial" w:hAnsi="Arial" w:cs="Arial"/>
          <w:sz w:val="24"/>
          <w:szCs w:val="24"/>
        </w:rPr>
        <w:t>.</w:t>
      </w:r>
    </w:p>
    <w:p w14:paraId="3548C382" w14:textId="77777777" w:rsidR="00721C0C" w:rsidRPr="00721C0C" w:rsidRDefault="00721C0C" w:rsidP="00721C0C">
      <w:pPr>
        <w:pStyle w:val="ListParagraph"/>
        <w:ind w:left="1440"/>
        <w:rPr>
          <w:rFonts w:ascii="Arial" w:eastAsia="Arial" w:hAnsi="Arial" w:cs="Arial"/>
          <w:sz w:val="24"/>
          <w:szCs w:val="24"/>
        </w:rPr>
      </w:pPr>
    </w:p>
    <w:p w14:paraId="7920A4B1" w14:textId="042928B0" w:rsidR="00721C0C" w:rsidRPr="00721C0C" w:rsidRDefault="00721C0C" w:rsidP="00721C0C">
      <w:pPr>
        <w:pStyle w:val="ListParagraph"/>
        <w:numPr>
          <w:ilvl w:val="1"/>
          <w:numId w:val="3"/>
        </w:numPr>
        <w:rPr>
          <w:rFonts w:ascii="Arial" w:eastAsia="Arial" w:hAnsi="Arial" w:cs="Arial"/>
          <w:sz w:val="24"/>
          <w:szCs w:val="24"/>
        </w:rPr>
      </w:pPr>
      <w:r w:rsidRPr="00721C0C">
        <w:rPr>
          <w:rFonts w:ascii="Arial" w:eastAsia="Arial" w:hAnsi="Arial" w:cs="Arial"/>
          <w:sz w:val="24"/>
          <w:szCs w:val="24"/>
        </w:rPr>
        <w:t xml:space="preserve">Users are advised to review the Windows patch level of their Infinity Explorer. The Infinity Explorer software is verified by Dräger on a monthly basis to be compatible </w:t>
      </w:r>
      <w:r>
        <w:rPr>
          <w:rFonts w:ascii="Arial" w:eastAsia="Arial" w:hAnsi="Arial" w:cs="Arial"/>
          <w:sz w:val="24"/>
          <w:szCs w:val="24"/>
        </w:rPr>
        <w:t>with</w:t>
      </w:r>
      <w:r w:rsidRPr="00721C0C">
        <w:rPr>
          <w:rFonts w:ascii="Arial" w:eastAsia="Arial" w:hAnsi="Arial" w:cs="Arial"/>
          <w:sz w:val="24"/>
          <w:szCs w:val="24"/>
        </w:rPr>
        <w:t xml:space="preserve"> all </w:t>
      </w:r>
      <w:r>
        <w:rPr>
          <w:rFonts w:ascii="Arial" w:eastAsia="Arial" w:hAnsi="Arial" w:cs="Arial"/>
          <w:sz w:val="24"/>
          <w:szCs w:val="24"/>
        </w:rPr>
        <w:t xml:space="preserve">the </w:t>
      </w:r>
      <w:r w:rsidRPr="00721C0C">
        <w:rPr>
          <w:rFonts w:ascii="Arial" w:eastAsia="Arial" w:hAnsi="Arial" w:cs="Arial"/>
          <w:sz w:val="24"/>
          <w:szCs w:val="24"/>
        </w:rPr>
        <w:t>latest operating system patches by Microsoft. Users can get the test report via their local sales representative</w:t>
      </w:r>
      <w:r w:rsidR="0020130E" w:rsidRPr="0020130E">
        <w:t xml:space="preserve"> </w:t>
      </w:r>
      <w:r w:rsidR="0020130E" w:rsidRPr="0020130E">
        <w:rPr>
          <w:rFonts w:ascii="Arial" w:eastAsia="Arial" w:hAnsi="Arial" w:cs="Arial"/>
          <w:sz w:val="24"/>
          <w:szCs w:val="24"/>
        </w:rPr>
        <w:t>(CISA, 2019)</w:t>
      </w:r>
      <w:r w:rsidR="0020130E">
        <w:rPr>
          <w:rFonts w:ascii="Arial" w:eastAsia="Arial" w:hAnsi="Arial" w:cs="Arial"/>
          <w:sz w:val="24"/>
          <w:szCs w:val="24"/>
        </w:rPr>
        <w:t>.</w:t>
      </w:r>
    </w:p>
    <w:p w14:paraId="56433ECA" w14:textId="77777777" w:rsidR="00190DAE" w:rsidRPr="00190DAE" w:rsidRDefault="00190DAE" w:rsidP="00190DAE">
      <w:pPr>
        <w:pStyle w:val="ListParagraph"/>
        <w:rPr>
          <w:rFonts w:ascii="Arial" w:eastAsia="Arial" w:hAnsi="Arial" w:cs="Arial"/>
          <w:sz w:val="24"/>
          <w:szCs w:val="24"/>
        </w:rPr>
      </w:pPr>
    </w:p>
    <w:p w14:paraId="49CEB6F7" w14:textId="44B5EDD9" w:rsidR="00FC7F2B" w:rsidRPr="00721C0C" w:rsidRDefault="00190DAE" w:rsidP="001121FF">
      <w:pPr>
        <w:pStyle w:val="ListParagraph"/>
        <w:numPr>
          <w:ilvl w:val="0"/>
          <w:numId w:val="3"/>
        </w:numPr>
        <w:spacing w:line="257" w:lineRule="auto"/>
        <w:rPr>
          <w:rFonts w:ascii="Arial" w:eastAsia="Arial" w:hAnsi="Arial" w:cs="Arial"/>
          <w:sz w:val="24"/>
          <w:szCs w:val="24"/>
        </w:rPr>
      </w:pPr>
      <w:r w:rsidRPr="00721C0C">
        <w:rPr>
          <w:rFonts w:ascii="Arial" w:eastAsia="Arial" w:hAnsi="Arial" w:cs="Arial"/>
          <w:sz w:val="24"/>
          <w:szCs w:val="24"/>
        </w:rPr>
        <w:t>I would recommend</w:t>
      </w:r>
      <w:r w:rsidR="00EF243B" w:rsidRPr="00721C0C">
        <w:rPr>
          <w:rFonts w:ascii="Arial" w:eastAsia="Arial" w:hAnsi="Arial" w:cs="Arial"/>
          <w:sz w:val="24"/>
          <w:szCs w:val="24"/>
        </w:rPr>
        <w:t xml:space="preserve"> </w:t>
      </w:r>
      <w:r w:rsidR="00721C0C">
        <w:rPr>
          <w:rFonts w:ascii="Arial" w:eastAsia="Arial" w:hAnsi="Arial" w:cs="Arial"/>
          <w:sz w:val="24"/>
          <w:szCs w:val="24"/>
        </w:rPr>
        <w:t>that</w:t>
      </w:r>
      <w:r w:rsidR="00A316EE">
        <w:rPr>
          <w:rFonts w:ascii="Arial" w:eastAsia="Arial" w:hAnsi="Arial" w:cs="Arial"/>
          <w:sz w:val="24"/>
          <w:szCs w:val="24"/>
        </w:rPr>
        <w:t xml:space="preserve"> all </w:t>
      </w:r>
      <w:r w:rsidR="00A316EE">
        <w:rPr>
          <w:rFonts w:ascii="Arial" w:eastAsia="Arial" w:hAnsi="Arial" w:cs="Arial"/>
          <w:sz w:val="24"/>
          <w:szCs w:val="24"/>
        </w:rPr>
        <w:t>Patient Monitoring Systems</w:t>
      </w:r>
      <w:r w:rsidR="00A316EE">
        <w:rPr>
          <w:rFonts w:ascii="Arial" w:eastAsia="Arial" w:hAnsi="Arial" w:cs="Arial"/>
          <w:sz w:val="24"/>
          <w:szCs w:val="24"/>
        </w:rPr>
        <w:t xml:space="preserve"> be taken off the network and updated to the latest updates that Drager has sent out. Once all updates have been installed, all machines must be inspected to ensure they were updated to the latest version. Once all devices have been verified, they have been updated then they can be brought back onto the network</w:t>
      </w:r>
    </w:p>
    <w:p w14:paraId="2B694134" w14:textId="77777777" w:rsidR="00B16FC7" w:rsidRPr="00B16FC7" w:rsidRDefault="00B16FC7" w:rsidP="00B16FC7">
      <w:pPr>
        <w:pStyle w:val="ListParagraph"/>
        <w:rPr>
          <w:rFonts w:ascii="Arial" w:eastAsia="Arial" w:hAnsi="Arial" w:cs="Arial"/>
          <w:sz w:val="24"/>
          <w:szCs w:val="24"/>
        </w:rPr>
      </w:pPr>
    </w:p>
    <w:p w14:paraId="1A82EA75" w14:textId="33BE7D82" w:rsidR="00B16FC7" w:rsidRDefault="00B16FC7" w:rsidP="00B16FC7">
      <w:pPr>
        <w:spacing w:line="257" w:lineRule="auto"/>
        <w:rPr>
          <w:rFonts w:ascii="Arial" w:eastAsia="Arial" w:hAnsi="Arial" w:cs="Arial"/>
          <w:sz w:val="24"/>
          <w:szCs w:val="24"/>
        </w:rPr>
      </w:pPr>
    </w:p>
    <w:p w14:paraId="2DE1A0EB" w14:textId="43E73628" w:rsidR="00B16FC7" w:rsidRDefault="00B16FC7" w:rsidP="00B16FC7">
      <w:pPr>
        <w:spacing w:line="257" w:lineRule="auto"/>
        <w:rPr>
          <w:rFonts w:ascii="Arial" w:eastAsia="Arial" w:hAnsi="Arial" w:cs="Arial"/>
          <w:sz w:val="24"/>
          <w:szCs w:val="24"/>
        </w:rPr>
      </w:pPr>
    </w:p>
    <w:p w14:paraId="18156DC2" w14:textId="09205B0F" w:rsidR="00B16FC7" w:rsidRDefault="00B16FC7" w:rsidP="00B16FC7">
      <w:pPr>
        <w:spacing w:line="257" w:lineRule="auto"/>
        <w:rPr>
          <w:rFonts w:ascii="Arial" w:eastAsia="Arial" w:hAnsi="Arial" w:cs="Arial"/>
          <w:sz w:val="24"/>
          <w:szCs w:val="24"/>
        </w:rPr>
      </w:pPr>
    </w:p>
    <w:p w14:paraId="110794DB" w14:textId="25637D37" w:rsidR="00F676FB" w:rsidRDefault="00F676FB" w:rsidP="00F676FB">
      <w:pPr>
        <w:pBdr>
          <w:bottom w:val="single" w:sz="12" w:space="1" w:color="auto"/>
        </w:pBdr>
        <w:spacing w:line="257" w:lineRule="auto"/>
        <w:rPr>
          <w:rFonts w:ascii="Arial" w:eastAsia="Arial" w:hAnsi="Arial" w:cs="Arial"/>
          <w:sz w:val="24"/>
          <w:szCs w:val="24"/>
        </w:rPr>
      </w:pPr>
      <w:r w:rsidRPr="00F676FB">
        <w:rPr>
          <w:rFonts w:ascii="Arial" w:eastAsia="Arial" w:hAnsi="Arial" w:cs="Arial"/>
          <w:sz w:val="24"/>
          <w:szCs w:val="24"/>
        </w:rPr>
        <w:t>References</w:t>
      </w:r>
    </w:p>
    <w:p w14:paraId="6AE642E3" w14:textId="77777777" w:rsidR="00F676FB" w:rsidRPr="00F676FB" w:rsidRDefault="00F676FB" w:rsidP="00F676FB">
      <w:pPr>
        <w:spacing w:line="257" w:lineRule="auto"/>
        <w:rPr>
          <w:rFonts w:ascii="Arial" w:eastAsia="Arial" w:hAnsi="Arial" w:cs="Arial"/>
          <w:sz w:val="24"/>
          <w:szCs w:val="24"/>
        </w:rPr>
      </w:pPr>
      <w:r w:rsidRPr="00F676FB">
        <w:rPr>
          <w:rFonts w:ascii="Arial" w:eastAsia="Arial" w:hAnsi="Arial" w:cs="Arial"/>
          <w:sz w:val="24"/>
          <w:szCs w:val="24"/>
        </w:rPr>
        <w:t xml:space="preserve">Becton, </w:t>
      </w:r>
      <w:proofErr w:type="gramStart"/>
      <w:r w:rsidRPr="00F676FB">
        <w:rPr>
          <w:rFonts w:ascii="Arial" w:eastAsia="Arial" w:hAnsi="Arial" w:cs="Arial"/>
          <w:sz w:val="24"/>
          <w:szCs w:val="24"/>
        </w:rPr>
        <w:t>Dickinson</w:t>
      </w:r>
      <w:proofErr w:type="gramEnd"/>
      <w:r w:rsidRPr="00F676FB">
        <w:rPr>
          <w:rFonts w:ascii="Arial" w:eastAsia="Arial" w:hAnsi="Arial" w:cs="Arial"/>
          <w:sz w:val="24"/>
          <w:szCs w:val="24"/>
        </w:rPr>
        <w:t xml:space="preserve"> and Company. (n.d.). Alaris GH plus syringe pump with Guardrails. Advancing the world of health | BD. https://www.bd.com/en-za/our-products/infusion/infusion-devices/alaris-plus-platform-with-guardrails-safety-software/alaris-gh-plus-syringe-pump-with-guardrails</w:t>
      </w:r>
    </w:p>
    <w:p w14:paraId="1EA0FA8C" w14:textId="77777777" w:rsidR="00F676FB" w:rsidRPr="00F676FB" w:rsidRDefault="00F676FB" w:rsidP="00F676FB">
      <w:pPr>
        <w:spacing w:line="257" w:lineRule="auto"/>
        <w:rPr>
          <w:rFonts w:ascii="Arial" w:eastAsia="Arial" w:hAnsi="Arial" w:cs="Arial"/>
          <w:sz w:val="24"/>
          <w:szCs w:val="24"/>
        </w:rPr>
      </w:pPr>
    </w:p>
    <w:p w14:paraId="20B89EE8" w14:textId="77777777" w:rsidR="00F676FB" w:rsidRPr="00F676FB" w:rsidRDefault="00F676FB" w:rsidP="00F676FB">
      <w:pPr>
        <w:spacing w:line="257" w:lineRule="auto"/>
        <w:rPr>
          <w:rFonts w:ascii="Arial" w:eastAsia="Arial" w:hAnsi="Arial" w:cs="Arial"/>
          <w:sz w:val="24"/>
          <w:szCs w:val="24"/>
        </w:rPr>
      </w:pPr>
      <w:r w:rsidRPr="00F676FB">
        <w:rPr>
          <w:rFonts w:ascii="Arial" w:eastAsia="Arial" w:hAnsi="Arial" w:cs="Arial"/>
          <w:sz w:val="24"/>
          <w:szCs w:val="24"/>
        </w:rPr>
        <w:t>CISA. (2018, August 23). BD Alaris plus. https://www.cisa.gov/uscert/ics/advisories/ICSMA-18-235-01</w:t>
      </w:r>
    </w:p>
    <w:p w14:paraId="65B50026" w14:textId="77777777" w:rsidR="00F676FB" w:rsidRPr="00F676FB" w:rsidRDefault="00F676FB" w:rsidP="00F676FB">
      <w:pPr>
        <w:spacing w:line="257" w:lineRule="auto"/>
        <w:rPr>
          <w:rFonts w:ascii="Arial" w:eastAsia="Arial" w:hAnsi="Arial" w:cs="Arial"/>
          <w:sz w:val="24"/>
          <w:szCs w:val="24"/>
        </w:rPr>
      </w:pPr>
    </w:p>
    <w:p w14:paraId="6BD391C9" w14:textId="77777777" w:rsidR="00F676FB" w:rsidRPr="00F676FB" w:rsidRDefault="00F676FB" w:rsidP="00F676FB">
      <w:pPr>
        <w:spacing w:line="257" w:lineRule="auto"/>
        <w:rPr>
          <w:rFonts w:ascii="Arial" w:eastAsia="Arial" w:hAnsi="Arial" w:cs="Arial"/>
          <w:sz w:val="24"/>
          <w:szCs w:val="24"/>
        </w:rPr>
      </w:pPr>
      <w:r w:rsidRPr="00F676FB">
        <w:rPr>
          <w:rFonts w:ascii="Arial" w:eastAsia="Arial" w:hAnsi="Arial" w:cs="Arial"/>
          <w:sz w:val="24"/>
          <w:szCs w:val="24"/>
        </w:rPr>
        <w:t>CISA. (2019, January 22). Drager infinity delta. https://www.cisa.gov/uscert/ics/advisories/ICSMA-19-022-01</w:t>
      </w:r>
    </w:p>
    <w:p w14:paraId="2E8CC003" w14:textId="77777777" w:rsidR="00F676FB" w:rsidRPr="00F676FB" w:rsidRDefault="00F676FB" w:rsidP="00F676FB">
      <w:pPr>
        <w:spacing w:line="257" w:lineRule="auto"/>
        <w:rPr>
          <w:rFonts w:ascii="Arial" w:eastAsia="Arial" w:hAnsi="Arial" w:cs="Arial"/>
          <w:sz w:val="24"/>
          <w:szCs w:val="24"/>
        </w:rPr>
      </w:pPr>
    </w:p>
    <w:p w14:paraId="68AEED75" w14:textId="77777777" w:rsidR="00F676FB" w:rsidRPr="00F676FB" w:rsidRDefault="00F676FB" w:rsidP="00F676FB">
      <w:pPr>
        <w:spacing w:line="257" w:lineRule="auto"/>
        <w:rPr>
          <w:rFonts w:ascii="Arial" w:eastAsia="Arial" w:hAnsi="Arial" w:cs="Arial"/>
          <w:sz w:val="24"/>
          <w:szCs w:val="24"/>
        </w:rPr>
      </w:pPr>
      <w:r w:rsidRPr="00F676FB">
        <w:rPr>
          <w:rFonts w:ascii="Arial" w:eastAsia="Arial" w:hAnsi="Arial" w:cs="Arial"/>
          <w:sz w:val="24"/>
          <w:szCs w:val="24"/>
        </w:rPr>
        <w:t xml:space="preserve">CVE. (2018, August 1). </w:t>
      </w:r>
      <w:proofErr w:type="spellStart"/>
      <w:r w:rsidRPr="00F676FB">
        <w:rPr>
          <w:rFonts w:ascii="Arial" w:eastAsia="Arial" w:hAnsi="Arial" w:cs="Arial"/>
          <w:sz w:val="24"/>
          <w:szCs w:val="24"/>
        </w:rPr>
        <w:t>Cve</w:t>
      </w:r>
      <w:proofErr w:type="spellEnd"/>
      <w:r w:rsidRPr="00F676FB">
        <w:rPr>
          <w:rFonts w:ascii="Arial" w:eastAsia="Arial" w:hAnsi="Arial" w:cs="Arial"/>
          <w:sz w:val="24"/>
          <w:szCs w:val="24"/>
        </w:rPr>
        <w:t xml:space="preserve"> - cve-2018-14786. CVE -CVE. https://cve.mitre.org/cgi-bin/cvename.cgi?name=CVE-2018-14786</w:t>
      </w:r>
    </w:p>
    <w:p w14:paraId="19D88E74" w14:textId="77777777" w:rsidR="00F676FB" w:rsidRPr="00F676FB" w:rsidRDefault="00F676FB" w:rsidP="00F676FB">
      <w:pPr>
        <w:spacing w:line="257" w:lineRule="auto"/>
        <w:rPr>
          <w:rFonts w:ascii="Arial" w:eastAsia="Arial" w:hAnsi="Arial" w:cs="Arial"/>
          <w:sz w:val="24"/>
          <w:szCs w:val="24"/>
        </w:rPr>
      </w:pPr>
    </w:p>
    <w:p w14:paraId="23DDAFAA" w14:textId="77777777" w:rsidR="00F676FB" w:rsidRPr="00F676FB" w:rsidRDefault="00F676FB" w:rsidP="00F676FB">
      <w:pPr>
        <w:spacing w:line="257" w:lineRule="auto"/>
        <w:rPr>
          <w:rFonts w:ascii="Arial" w:eastAsia="Arial" w:hAnsi="Arial" w:cs="Arial"/>
          <w:sz w:val="24"/>
          <w:szCs w:val="24"/>
        </w:rPr>
      </w:pPr>
      <w:r w:rsidRPr="00F676FB">
        <w:rPr>
          <w:rFonts w:ascii="Arial" w:eastAsia="Arial" w:hAnsi="Arial" w:cs="Arial"/>
          <w:sz w:val="24"/>
          <w:szCs w:val="24"/>
        </w:rPr>
        <w:t xml:space="preserve">CVE. (2018, June 11). </w:t>
      </w:r>
      <w:proofErr w:type="spellStart"/>
      <w:r w:rsidRPr="00F676FB">
        <w:rPr>
          <w:rFonts w:ascii="Arial" w:eastAsia="Arial" w:hAnsi="Arial" w:cs="Arial"/>
          <w:sz w:val="24"/>
          <w:szCs w:val="24"/>
        </w:rPr>
        <w:t>Cve</w:t>
      </w:r>
      <w:proofErr w:type="spellEnd"/>
      <w:r w:rsidRPr="00F676FB">
        <w:rPr>
          <w:rFonts w:ascii="Arial" w:eastAsia="Arial" w:hAnsi="Arial" w:cs="Arial"/>
          <w:sz w:val="24"/>
          <w:szCs w:val="24"/>
        </w:rPr>
        <w:t xml:space="preserve"> - cve-2018-19010. CVE -CVE. https://cve.mitre.org/cgi-bin/cvename.cgi?name=CVE-2018-19010</w:t>
      </w:r>
    </w:p>
    <w:p w14:paraId="0AA8D717" w14:textId="77777777" w:rsidR="00F676FB" w:rsidRPr="00F676FB" w:rsidRDefault="00F676FB" w:rsidP="00F676FB">
      <w:pPr>
        <w:spacing w:line="257" w:lineRule="auto"/>
        <w:rPr>
          <w:rFonts w:ascii="Arial" w:eastAsia="Arial" w:hAnsi="Arial" w:cs="Arial"/>
          <w:sz w:val="24"/>
          <w:szCs w:val="24"/>
        </w:rPr>
      </w:pPr>
    </w:p>
    <w:p w14:paraId="0A504807" w14:textId="77777777" w:rsidR="00F676FB" w:rsidRPr="00F676FB" w:rsidRDefault="00F676FB" w:rsidP="00F676FB">
      <w:pPr>
        <w:spacing w:line="257" w:lineRule="auto"/>
        <w:rPr>
          <w:rFonts w:ascii="Arial" w:eastAsia="Arial" w:hAnsi="Arial" w:cs="Arial"/>
          <w:sz w:val="24"/>
          <w:szCs w:val="24"/>
        </w:rPr>
      </w:pPr>
      <w:r w:rsidRPr="00F676FB">
        <w:rPr>
          <w:rFonts w:ascii="Arial" w:eastAsia="Arial" w:hAnsi="Arial" w:cs="Arial"/>
          <w:sz w:val="24"/>
          <w:szCs w:val="24"/>
        </w:rPr>
        <w:t xml:space="preserve">Drager. (2016). Infinity® </w:t>
      </w:r>
      <w:proofErr w:type="spellStart"/>
      <w:r w:rsidRPr="00F676FB">
        <w:rPr>
          <w:rFonts w:ascii="Arial" w:eastAsia="Arial" w:hAnsi="Arial" w:cs="Arial"/>
          <w:sz w:val="24"/>
          <w:szCs w:val="24"/>
        </w:rPr>
        <w:t>MultiMed</w:t>
      </w:r>
      <w:proofErr w:type="spellEnd"/>
      <w:r w:rsidRPr="00F676FB">
        <w:rPr>
          <w:rFonts w:ascii="Arial" w:eastAsia="Arial" w:hAnsi="Arial" w:cs="Arial"/>
          <w:sz w:val="24"/>
          <w:szCs w:val="24"/>
        </w:rPr>
        <w:t>® 12 Pod. https://www.draeger.com/Products/Content/9051717_multimed12_pi_en.pdf</w:t>
      </w:r>
    </w:p>
    <w:p w14:paraId="44E7F0A3" w14:textId="77777777" w:rsidR="00F676FB" w:rsidRPr="00F676FB" w:rsidRDefault="00F676FB" w:rsidP="00F676FB">
      <w:pPr>
        <w:spacing w:line="257" w:lineRule="auto"/>
        <w:rPr>
          <w:rFonts w:ascii="Arial" w:eastAsia="Arial" w:hAnsi="Arial" w:cs="Arial"/>
          <w:sz w:val="24"/>
          <w:szCs w:val="24"/>
        </w:rPr>
      </w:pPr>
    </w:p>
    <w:p w14:paraId="11076A9E" w14:textId="77777777" w:rsidR="00F676FB" w:rsidRPr="00F676FB" w:rsidRDefault="00F676FB" w:rsidP="00F676FB">
      <w:pPr>
        <w:spacing w:line="257" w:lineRule="auto"/>
        <w:rPr>
          <w:rFonts w:ascii="Arial" w:eastAsia="Arial" w:hAnsi="Arial" w:cs="Arial"/>
          <w:sz w:val="24"/>
          <w:szCs w:val="24"/>
        </w:rPr>
      </w:pPr>
      <w:r w:rsidRPr="00F676FB">
        <w:rPr>
          <w:rFonts w:ascii="Arial" w:eastAsia="Arial" w:hAnsi="Arial" w:cs="Arial"/>
          <w:sz w:val="24"/>
          <w:szCs w:val="24"/>
        </w:rPr>
        <w:t>ICS-CERT. (2019, October 9). Cve-2018-19010. NVD. https://nvd.nist.gov/vuln/detail/CVE-2018-19010</w:t>
      </w:r>
    </w:p>
    <w:p w14:paraId="6491FB39" w14:textId="77777777" w:rsidR="00F676FB" w:rsidRPr="00F676FB" w:rsidRDefault="00F676FB" w:rsidP="00F676FB">
      <w:pPr>
        <w:spacing w:line="257" w:lineRule="auto"/>
        <w:rPr>
          <w:rFonts w:ascii="Arial" w:eastAsia="Arial" w:hAnsi="Arial" w:cs="Arial"/>
          <w:sz w:val="24"/>
          <w:szCs w:val="24"/>
        </w:rPr>
      </w:pPr>
    </w:p>
    <w:p w14:paraId="39520F0A" w14:textId="4F5FB304" w:rsidR="00B16FC7" w:rsidRDefault="00F676FB" w:rsidP="00F676FB">
      <w:pPr>
        <w:spacing w:line="257" w:lineRule="auto"/>
        <w:rPr>
          <w:rFonts w:ascii="Arial" w:eastAsia="Arial" w:hAnsi="Arial" w:cs="Arial"/>
          <w:sz w:val="24"/>
          <w:szCs w:val="24"/>
        </w:rPr>
      </w:pPr>
      <w:r w:rsidRPr="00F676FB">
        <w:rPr>
          <w:rFonts w:ascii="Arial" w:eastAsia="Arial" w:hAnsi="Arial" w:cs="Arial"/>
          <w:sz w:val="24"/>
          <w:szCs w:val="24"/>
        </w:rPr>
        <w:t>ICS-CERT. (2020, August 24). Cve-2018-14786. NVD. https://nvd.nist.gov/vuln/detail/CVE-2018-14786</w:t>
      </w:r>
    </w:p>
    <w:p w14:paraId="55996BD2" w14:textId="79CA40B6" w:rsidR="00B16FC7" w:rsidRDefault="00B16FC7" w:rsidP="00B16FC7">
      <w:pPr>
        <w:spacing w:line="257" w:lineRule="auto"/>
        <w:rPr>
          <w:rFonts w:ascii="Arial" w:eastAsia="Arial" w:hAnsi="Arial" w:cs="Arial"/>
          <w:sz w:val="24"/>
          <w:szCs w:val="24"/>
        </w:rPr>
      </w:pPr>
    </w:p>
    <w:p w14:paraId="5F2175C2" w14:textId="21AF8632" w:rsidR="00B16FC7" w:rsidRDefault="00B16FC7" w:rsidP="00B16FC7">
      <w:pPr>
        <w:spacing w:line="257" w:lineRule="auto"/>
        <w:rPr>
          <w:rFonts w:ascii="Arial" w:eastAsia="Arial" w:hAnsi="Arial" w:cs="Arial"/>
          <w:sz w:val="24"/>
          <w:szCs w:val="24"/>
        </w:rPr>
      </w:pPr>
    </w:p>
    <w:p w14:paraId="65BBE329" w14:textId="7406822B" w:rsidR="00B16FC7" w:rsidRDefault="00B16FC7" w:rsidP="00B16FC7">
      <w:pPr>
        <w:spacing w:line="257" w:lineRule="auto"/>
        <w:rPr>
          <w:rFonts w:ascii="Arial" w:eastAsia="Arial" w:hAnsi="Arial" w:cs="Arial"/>
          <w:sz w:val="24"/>
          <w:szCs w:val="24"/>
        </w:rPr>
      </w:pPr>
    </w:p>
    <w:p w14:paraId="38BCA980" w14:textId="38BF7356" w:rsidR="00B16FC7" w:rsidRDefault="00B16FC7" w:rsidP="00B16FC7">
      <w:pPr>
        <w:spacing w:line="257" w:lineRule="auto"/>
        <w:rPr>
          <w:rFonts w:ascii="Arial" w:eastAsia="Arial" w:hAnsi="Arial" w:cs="Arial"/>
          <w:sz w:val="24"/>
          <w:szCs w:val="24"/>
        </w:rPr>
      </w:pPr>
    </w:p>
    <w:p w14:paraId="23B869EF" w14:textId="74C4B86F" w:rsidR="00B16FC7" w:rsidRDefault="00B16FC7" w:rsidP="00B16FC7">
      <w:pPr>
        <w:spacing w:line="257" w:lineRule="auto"/>
        <w:rPr>
          <w:rFonts w:ascii="Arial" w:eastAsia="Arial" w:hAnsi="Arial" w:cs="Arial"/>
          <w:sz w:val="24"/>
          <w:szCs w:val="24"/>
        </w:rPr>
      </w:pPr>
    </w:p>
    <w:p w14:paraId="1BAD3D8F" w14:textId="601F5404" w:rsidR="00B16FC7" w:rsidRDefault="00B16FC7" w:rsidP="00B16FC7">
      <w:pPr>
        <w:spacing w:line="257" w:lineRule="auto"/>
        <w:rPr>
          <w:rFonts w:ascii="Arial" w:eastAsia="Arial" w:hAnsi="Arial" w:cs="Arial"/>
          <w:sz w:val="24"/>
          <w:szCs w:val="24"/>
        </w:rPr>
      </w:pPr>
    </w:p>
    <w:p w14:paraId="2CE6F8B8" w14:textId="77777777" w:rsidR="00B16FC7" w:rsidRPr="00B16FC7" w:rsidRDefault="00B16FC7" w:rsidP="00B16FC7">
      <w:pPr>
        <w:spacing w:line="257" w:lineRule="auto"/>
        <w:rPr>
          <w:rFonts w:ascii="Arial" w:eastAsia="Arial" w:hAnsi="Arial" w:cs="Arial"/>
          <w:sz w:val="24"/>
          <w:szCs w:val="24"/>
        </w:rPr>
      </w:pPr>
    </w:p>
    <w:sectPr w:rsidR="00B16FC7" w:rsidRPr="00B16FC7" w:rsidSect="00A316EE">
      <w:headerReference w:type="default" r:id="rId12"/>
      <w:pgSz w:w="12240" w:h="15840"/>
      <w:pgMar w:top="450" w:right="1350" w:bottom="4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EDD41" w14:textId="77777777" w:rsidR="00444F81" w:rsidRDefault="00444F81" w:rsidP="009B0BC4">
      <w:pPr>
        <w:spacing w:after="0" w:line="240" w:lineRule="auto"/>
      </w:pPr>
      <w:r>
        <w:separator/>
      </w:r>
    </w:p>
  </w:endnote>
  <w:endnote w:type="continuationSeparator" w:id="0">
    <w:p w14:paraId="130473B0" w14:textId="77777777" w:rsidR="00444F81" w:rsidRDefault="00444F81" w:rsidP="009B0BC4">
      <w:pPr>
        <w:spacing w:after="0" w:line="240" w:lineRule="auto"/>
      </w:pPr>
      <w:r>
        <w:continuationSeparator/>
      </w:r>
    </w:p>
  </w:endnote>
  <w:endnote w:type="continuationNotice" w:id="1">
    <w:p w14:paraId="48D68E11" w14:textId="77777777" w:rsidR="00444F81" w:rsidRDefault="00444F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5907" w14:textId="77777777" w:rsidR="00444F81" w:rsidRDefault="00444F81" w:rsidP="009B0BC4">
      <w:pPr>
        <w:spacing w:after="0" w:line="240" w:lineRule="auto"/>
      </w:pPr>
      <w:r>
        <w:separator/>
      </w:r>
    </w:p>
  </w:footnote>
  <w:footnote w:type="continuationSeparator" w:id="0">
    <w:p w14:paraId="48C86BAD" w14:textId="77777777" w:rsidR="00444F81" w:rsidRDefault="00444F81" w:rsidP="009B0BC4">
      <w:pPr>
        <w:spacing w:after="0" w:line="240" w:lineRule="auto"/>
      </w:pPr>
      <w:r>
        <w:continuationSeparator/>
      </w:r>
    </w:p>
  </w:footnote>
  <w:footnote w:type="continuationNotice" w:id="1">
    <w:p w14:paraId="289D9DE6" w14:textId="77777777" w:rsidR="00444F81" w:rsidRDefault="00444F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643571D0" w14:textId="406CDE42" w:rsidR="007021DA" w:rsidRDefault="00033E8E">
        <w:pPr>
          <w:pStyle w:val="Header"/>
          <w:jc w:val="right"/>
        </w:pPr>
        <w:r w:rsidRPr="00033E8E">
          <w:rPr>
            <w:rStyle w:val="normaltextrun"/>
            <w:rFonts w:ascii="Arial" w:hAnsi="Arial" w:cs="Arial"/>
            <w:bCs/>
            <w:color w:val="000000"/>
            <w:bdr w:val="none" w:sz="0" w:space="0" w:color="auto" w:frame="1"/>
          </w:rPr>
          <w:t>Vulnerability Memo</w:t>
        </w:r>
        <w:r>
          <w:rPr>
            <w:rStyle w:val="normaltextrun"/>
            <w:rFonts w:ascii="Arial" w:hAnsi="Arial" w:cs="Arial"/>
            <w:b/>
            <w:bCs/>
            <w:color w:val="000000"/>
            <w:bdr w:val="none" w:sz="0" w:space="0" w:color="auto" w:frame="1"/>
          </w:rPr>
          <w:tab/>
        </w:r>
        <w:r>
          <w:rPr>
            <w:rStyle w:val="normaltextrun"/>
            <w:rFonts w:ascii="Arial" w:hAnsi="Arial" w:cs="Arial"/>
            <w:b/>
            <w:bCs/>
            <w:color w:val="000000"/>
            <w:bdr w:val="none" w:sz="0" w:space="0" w:color="auto" w:frame="1"/>
          </w:rPr>
          <w:tab/>
        </w:r>
        <w:r w:rsidR="007021DA">
          <w:t xml:space="preserve">Page </w:t>
        </w:r>
        <w:r w:rsidR="007021DA">
          <w:rPr>
            <w:b/>
            <w:bCs/>
            <w:sz w:val="24"/>
            <w:szCs w:val="24"/>
          </w:rPr>
          <w:fldChar w:fldCharType="begin"/>
        </w:r>
        <w:r w:rsidR="007021DA">
          <w:rPr>
            <w:b/>
            <w:bCs/>
          </w:rPr>
          <w:instrText xml:space="preserve"> PAGE </w:instrText>
        </w:r>
        <w:r w:rsidR="007021DA">
          <w:rPr>
            <w:b/>
            <w:bCs/>
            <w:sz w:val="24"/>
            <w:szCs w:val="24"/>
          </w:rPr>
          <w:fldChar w:fldCharType="separate"/>
        </w:r>
        <w:r w:rsidR="001121FF">
          <w:rPr>
            <w:b/>
            <w:bCs/>
            <w:noProof/>
          </w:rPr>
          <w:t>2</w:t>
        </w:r>
        <w:r w:rsidR="007021DA">
          <w:rPr>
            <w:b/>
            <w:bCs/>
            <w:sz w:val="24"/>
            <w:szCs w:val="24"/>
          </w:rPr>
          <w:fldChar w:fldCharType="end"/>
        </w:r>
        <w:r w:rsidR="007021DA">
          <w:t xml:space="preserve"> of </w:t>
        </w:r>
        <w:r w:rsidR="007021DA">
          <w:rPr>
            <w:b/>
            <w:bCs/>
            <w:sz w:val="24"/>
            <w:szCs w:val="24"/>
          </w:rPr>
          <w:fldChar w:fldCharType="begin"/>
        </w:r>
        <w:r w:rsidR="007021DA">
          <w:rPr>
            <w:b/>
            <w:bCs/>
          </w:rPr>
          <w:instrText xml:space="preserve"> NUMPAGES  </w:instrText>
        </w:r>
        <w:r w:rsidR="007021DA">
          <w:rPr>
            <w:b/>
            <w:bCs/>
            <w:sz w:val="24"/>
            <w:szCs w:val="24"/>
          </w:rPr>
          <w:fldChar w:fldCharType="separate"/>
        </w:r>
        <w:r w:rsidR="001121FF">
          <w:rPr>
            <w:b/>
            <w:bCs/>
            <w:noProof/>
          </w:rPr>
          <w:t>2</w:t>
        </w:r>
        <w:r w:rsidR="007021DA">
          <w:rPr>
            <w:b/>
            <w:bCs/>
            <w:sz w:val="24"/>
            <w:szCs w:val="24"/>
          </w:rPr>
          <w:fldChar w:fldCharType="end"/>
        </w:r>
      </w:p>
    </w:sdtContent>
  </w:sdt>
  <w:p w14:paraId="1DA962A3" w14:textId="18B9EACB" w:rsidR="009B0BC4" w:rsidRDefault="009B0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26BC"/>
    <w:multiLevelType w:val="hybridMultilevel"/>
    <w:tmpl w:val="B3102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756D3"/>
    <w:multiLevelType w:val="hybridMultilevel"/>
    <w:tmpl w:val="3DD4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01D14"/>
    <w:multiLevelType w:val="hybridMultilevel"/>
    <w:tmpl w:val="7DEAFE20"/>
    <w:lvl w:ilvl="0" w:tplc="CB483180">
      <w:start w:val="1"/>
      <w:numFmt w:val="bullet"/>
      <w:lvlText w:val=""/>
      <w:lvlJc w:val="left"/>
      <w:pPr>
        <w:ind w:left="720" w:hanging="360"/>
      </w:pPr>
      <w:rPr>
        <w:rFonts w:ascii="Symbol" w:hAnsi="Symbol" w:hint="default"/>
      </w:rPr>
    </w:lvl>
    <w:lvl w:ilvl="1" w:tplc="6BC04084">
      <w:start w:val="1"/>
      <w:numFmt w:val="bullet"/>
      <w:lvlText w:val=""/>
      <w:lvlJc w:val="left"/>
      <w:pPr>
        <w:ind w:left="1440" w:hanging="360"/>
      </w:pPr>
      <w:rPr>
        <w:rFonts w:ascii="Symbol" w:hAnsi="Symbol" w:hint="default"/>
      </w:rPr>
    </w:lvl>
    <w:lvl w:ilvl="2" w:tplc="6D70F188">
      <w:start w:val="1"/>
      <w:numFmt w:val="bullet"/>
      <w:lvlText w:val=""/>
      <w:lvlJc w:val="left"/>
      <w:pPr>
        <w:ind w:left="2160" w:hanging="360"/>
      </w:pPr>
      <w:rPr>
        <w:rFonts w:ascii="Wingdings" w:hAnsi="Wingdings" w:hint="default"/>
      </w:rPr>
    </w:lvl>
    <w:lvl w:ilvl="3" w:tplc="75A0003C">
      <w:start w:val="1"/>
      <w:numFmt w:val="bullet"/>
      <w:lvlText w:val=""/>
      <w:lvlJc w:val="left"/>
      <w:pPr>
        <w:ind w:left="2880" w:hanging="360"/>
      </w:pPr>
      <w:rPr>
        <w:rFonts w:ascii="Symbol" w:hAnsi="Symbol" w:hint="default"/>
      </w:rPr>
    </w:lvl>
    <w:lvl w:ilvl="4" w:tplc="43545F14">
      <w:start w:val="1"/>
      <w:numFmt w:val="bullet"/>
      <w:lvlText w:val="o"/>
      <w:lvlJc w:val="left"/>
      <w:pPr>
        <w:ind w:left="3600" w:hanging="360"/>
      </w:pPr>
      <w:rPr>
        <w:rFonts w:ascii="Courier New" w:hAnsi="Courier New" w:hint="default"/>
      </w:rPr>
    </w:lvl>
    <w:lvl w:ilvl="5" w:tplc="E348E2E8">
      <w:start w:val="1"/>
      <w:numFmt w:val="bullet"/>
      <w:lvlText w:val=""/>
      <w:lvlJc w:val="left"/>
      <w:pPr>
        <w:ind w:left="4320" w:hanging="360"/>
      </w:pPr>
      <w:rPr>
        <w:rFonts w:ascii="Wingdings" w:hAnsi="Wingdings" w:hint="default"/>
      </w:rPr>
    </w:lvl>
    <w:lvl w:ilvl="6" w:tplc="6E704902">
      <w:start w:val="1"/>
      <w:numFmt w:val="bullet"/>
      <w:lvlText w:val=""/>
      <w:lvlJc w:val="left"/>
      <w:pPr>
        <w:ind w:left="5040" w:hanging="360"/>
      </w:pPr>
      <w:rPr>
        <w:rFonts w:ascii="Symbol" w:hAnsi="Symbol" w:hint="default"/>
      </w:rPr>
    </w:lvl>
    <w:lvl w:ilvl="7" w:tplc="3B4433DE">
      <w:start w:val="1"/>
      <w:numFmt w:val="bullet"/>
      <w:lvlText w:val="o"/>
      <w:lvlJc w:val="left"/>
      <w:pPr>
        <w:ind w:left="5760" w:hanging="360"/>
      </w:pPr>
      <w:rPr>
        <w:rFonts w:ascii="Courier New" w:hAnsi="Courier New" w:hint="default"/>
      </w:rPr>
    </w:lvl>
    <w:lvl w:ilvl="8" w:tplc="5B68F6AC">
      <w:start w:val="1"/>
      <w:numFmt w:val="bullet"/>
      <w:lvlText w:val=""/>
      <w:lvlJc w:val="left"/>
      <w:pPr>
        <w:ind w:left="6480" w:hanging="360"/>
      </w:pPr>
      <w:rPr>
        <w:rFonts w:ascii="Wingdings" w:hAnsi="Wingdings" w:hint="default"/>
      </w:rPr>
    </w:lvl>
  </w:abstractNum>
  <w:abstractNum w:abstractNumId="3" w15:restartNumberingAfterBreak="0">
    <w:nsid w:val="71E53927"/>
    <w:multiLevelType w:val="hybridMultilevel"/>
    <w:tmpl w:val="92E4A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E27C6E"/>
    <w:multiLevelType w:val="hybridMultilevel"/>
    <w:tmpl w:val="BE16DAD4"/>
    <w:lvl w:ilvl="0" w:tplc="85CA3256">
      <w:start w:val="1"/>
      <w:numFmt w:val="decimal"/>
      <w:lvlText w:val="%1."/>
      <w:lvlJc w:val="left"/>
      <w:pPr>
        <w:ind w:left="720" w:hanging="360"/>
      </w:pPr>
    </w:lvl>
    <w:lvl w:ilvl="1" w:tplc="886ABAC4">
      <w:start w:val="1"/>
      <w:numFmt w:val="lowerLetter"/>
      <w:lvlText w:val="%2."/>
      <w:lvlJc w:val="left"/>
      <w:pPr>
        <w:ind w:left="1440" w:hanging="360"/>
      </w:pPr>
    </w:lvl>
    <w:lvl w:ilvl="2" w:tplc="6CBA9DC4">
      <w:start w:val="1"/>
      <w:numFmt w:val="lowerRoman"/>
      <w:lvlText w:val="%3."/>
      <w:lvlJc w:val="right"/>
      <w:pPr>
        <w:ind w:left="2160" w:hanging="180"/>
      </w:pPr>
    </w:lvl>
    <w:lvl w:ilvl="3" w:tplc="17A45988">
      <w:start w:val="1"/>
      <w:numFmt w:val="decimal"/>
      <w:lvlText w:val="%4."/>
      <w:lvlJc w:val="left"/>
      <w:pPr>
        <w:ind w:left="2880" w:hanging="360"/>
      </w:pPr>
    </w:lvl>
    <w:lvl w:ilvl="4" w:tplc="1BBC79AC">
      <w:start w:val="1"/>
      <w:numFmt w:val="lowerLetter"/>
      <w:lvlText w:val="%5."/>
      <w:lvlJc w:val="left"/>
      <w:pPr>
        <w:ind w:left="3600" w:hanging="360"/>
      </w:pPr>
    </w:lvl>
    <w:lvl w:ilvl="5" w:tplc="28D85148">
      <w:start w:val="1"/>
      <w:numFmt w:val="lowerRoman"/>
      <w:lvlText w:val="%6."/>
      <w:lvlJc w:val="right"/>
      <w:pPr>
        <w:ind w:left="4320" w:hanging="180"/>
      </w:pPr>
    </w:lvl>
    <w:lvl w:ilvl="6" w:tplc="9A4C0354">
      <w:start w:val="1"/>
      <w:numFmt w:val="decimal"/>
      <w:lvlText w:val="%7."/>
      <w:lvlJc w:val="left"/>
      <w:pPr>
        <w:ind w:left="5040" w:hanging="360"/>
      </w:pPr>
    </w:lvl>
    <w:lvl w:ilvl="7" w:tplc="04EAC694">
      <w:start w:val="1"/>
      <w:numFmt w:val="lowerLetter"/>
      <w:lvlText w:val="%8."/>
      <w:lvlJc w:val="left"/>
      <w:pPr>
        <w:ind w:left="5760" w:hanging="360"/>
      </w:pPr>
    </w:lvl>
    <w:lvl w:ilvl="8" w:tplc="8E4C95E6">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yNzC3MDIwMzKzNDNT0lEKTi0uzszPAykwqgUAERI+LywAAAA="/>
  </w:docVars>
  <w:rsids>
    <w:rsidRoot w:val="15106690"/>
    <w:rsid w:val="0002472F"/>
    <w:rsid w:val="00033E8E"/>
    <w:rsid w:val="00082D2A"/>
    <w:rsid w:val="000F69D4"/>
    <w:rsid w:val="00101AEA"/>
    <w:rsid w:val="001121FF"/>
    <w:rsid w:val="00190DAE"/>
    <w:rsid w:val="0020130E"/>
    <w:rsid w:val="00206DBA"/>
    <w:rsid w:val="00256FBE"/>
    <w:rsid w:val="00262BB8"/>
    <w:rsid w:val="002A0A87"/>
    <w:rsid w:val="003834EB"/>
    <w:rsid w:val="00395216"/>
    <w:rsid w:val="003B6B25"/>
    <w:rsid w:val="00406F18"/>
    <w:rsid w:val="00444F81"/>
    <w:rsid w:val="00461449"/>
    <w:rsid w:val="004B1BB7"/>
    <w:rsid w:val="004D0FC9"/>
    <w:rsid w:val="00697178"/>
    <w:rsid w:val="007021DA"/>
    <w:rsid w:val="007076E5"/>
    <w:rsid w:val="00721C0C"/>
    <w:rsid w:val="00846EC5"/>
    <w:rsid w:val="00854F80"/>
    <w:rsid w:val="00866EB1"/>
    <w:rsid w:val="008934AA"/>
    <w:rsid w:val="008A0ACB"/>
    <w:rsid w:val="008B10A8"/>
    <w:rsid w:val="00950419"/>
    <w:rsid w:val="00972544"/>
    <w:rsid w:val="009872FD"/>
    <w:rsid w:val="009A4C00"/>
    <w:rsid w:val="009B0BC4"/>
    <w:rsid w:val="009F1D9D"/>
    <w:rsid w:val="00A316EE"/>
    <w:rsid w:val="00A70AA9"/>
    <w:rsid w:val="00A8641B"/>
    <w:rsid w:val="00A870CB"/>
    <w:rsid w:val="00B16FC7"/>
    <w:rsid w:val="00BB5679"/>
    <w:rsid w:val="00CB2B16"/>
    <w:rsid w:val="00CC26BF"/>
    <w:rsid w:val="00CD3BEF"/>
    <w:rsid w:val="00D00E83"/>
    <w:rsid w:val="00DD1C1B"/>
    <w:rsid w:val="00DD3C62"/>
    <w:rsid w:val="00DF24F7"/>
    <w:rsid w:val="00E0746D"/>
    <w:rsid w:val="00E3468B"/>
    <w:rsid w:val="00EB2CB8"/>
    <w:rsid w:val="00EF243B"/>
    <w:rsid w:val="00F10A3B"/>
    <w:rsid w:val="00F21C88"/>
    <w:rsid w:val="00F335E8"/>
    <w:rsid w:val="00F676FB"/>
    <w:rsid w:val="00F743BA"/>
    <w:rsid w:val="00FC1A4B"/>
    <w:rsid w:val="00FC714B"/>
    <w:rsid w:val="00FC7F2B"/>
    <w:rsid w:val="03CE9FBB"/>
    <w:rsid w:val="04432319"/>
    <w:rsid w:val="059CF887"/>
    <w:rsid w:val="0715961D"/>
    <w:rsid w:val="0886D96B"/>
    <w:rsid w:val="0A7D2F33"/>
    <w:rsid w:val="0F989D3E"/>
    <w:rsid w:val="11986069"/>
    <w:rsid w:val="12043FAC"/>
    <w:rsid w:val="12B07EB2"/>
    <w:rsid w:val="131D45CB"/>
    <w:rsid w:val="15106690"/>
    <w:rsid w:val="15BA03BE"/>
    <w:rsid w:val="16124149"/>
    <w:rsid w:val="1A242849"/>
    <w:rsid w:val="1DA32DF5"/>
    <w:rsid w:val="1F2DE0C1"/>
    <w:rsid w:val="20EF57A0"/>
    <w:rsid w:val="217198FB"/>
    <w:rsid w:val="2324F199"/>
    <w:rsid w:val="241FC8FE"/>
    <w:rsid w:val="24E4D166"/>
    <w:rsid w:val="275B1FEF"/>
    <w:rsid w:val="27618F72"/>
    <w:rsid w:val="29872C0C"/>
    <w:rsid w:val="31F2A992"/>
    <w:rsid w:val="34FD8DBC"/>
    <w:rsid w:val="35809E5C"/>
    <w:rsid w:val="36382336"/>
    <w:rsid w:val="37C7B158"/>
    <w:rsid w:val="394BB33D"/>
    <w:rsid w:val="3A1F0301"/>
    <w:rsid w:val="40867BD1"/>
    <w:rsid w:val="4461E1FB"/>
    <w:rsid w:val="46063BED"/>
    <w:rsid w:val="50616745"/>
    <w:rsid w:val="50AD0019"/>
    <w:rsid w:val="50BF0000"/>
    <w:rsid w:val="5235CC1A"/>
    <w:rsid w:val="536A1831"/>
    <w:rsid w:val="5528C2AA"/>
    <w:rsid w:val="58461E4F"/>
    <w:rsid w:val="5952D14B"/>
    <w:rsid w:val="5ABD324C"/>
    <w:rsid w:val="5F536532"/>
    <w:rsid w:val="608CA4DD"/>
    <w:rsid w:val="64A6DE75"/>
    <w:rsid w:val="669B9C65"/>
    <w:rsid w:val="6B11C186"/>
    <w:rsid w:val="79310495"/>
    <w:rsid w:val="7AE6D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6690"/>
  <w15:chartTrackingRefBased/>
  <w15:docId w15:val="{1B2901C2-9D0D-4D2B-B756-3E99AE21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B1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BB7"/>
    <w:rPr>
      <w:rFonts w:ascii="Segoe UI" w:hAnsi="Segoe UI" w:cs="Segoe UI"/>
      <w:sz w:val="18"/>
      <w:szCs w:val="18"/>
    </w:rPr>
  </w:style>
  <w:style w:type="table" w:customStyle="1" w:styleId="Memotable">
    <w:name w:val="Memo table"/>
    <w:basedOn w:val="TableNormal"/>
    <w:uiPriority w:val="99"/>
    <w:rsid w:val="004B1BB7"/>
    <w:pPr>
      <w:spacing w:before="240" w:after="0" w:line="240" w:lineRule="auto"/>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4B1BB7"/>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after="0" w:line="240" w:lineRule="auto"/>
      <w:ind w:left="5040" w:right="288"/>
      <w:jc w:val="center"/>
    </w:pPr>
    <w:rPr>
      <w:rFonts w:asciiTheme="majorHAnsi" w:eastAsiaTheme="minorEastAsia" w:hAnsiTheme="majorHAnsi" w:cs="Times New Roman"/>
      <w:color w:val="FFFFFF" w:themeColor="background1"/>
      <w:spacing w:val="-15"/>
      <w:sz w:val="32"/>
    </w:rPr>
  </w:style>
  <w:style w:type="paragraph" w:styleId="Title">
    <w:name w:val="Title"/>
    <w:basedOn w:val="Normal"/>
    <w:link w:val="TitleChar"/>
    <w:uiPriority w:val="2"/>
    <w:qFormat/>
    <w:rsid w:val="004B1BB7"/>
    <w:pPr>
      <w:keepNext/>
      <w:keepLines/>
      <w:spacing w:after="120" w:line="240" w:lineRule="auto"/>
      <w:ind w:left="-720"/>
    </w:pPr>
    <w:rPr>
      <w:rFonts w:asciiTheme="majorHAnsi" w:eastAsiaTheme="minorEastAsia" w:hAnsiTheme="majorHAnsi" w:cs="Times New Roman"/>
      <w:b/>
      <w:kern w:val="28"/>
      <w:sz w:val="108"/>
    </w:rPr>
  </w:style>
  <w:style w:type="character" w:customStyle="1" w:styleId="TitleChar">
    <w:name w:val="Title Char"/>
    <w:basedOn w:val="DefaultParagraphFont"/>
    <w:link w:val="Title"/>
    <w:uiPriority w:val="2"/>
    <w:rsid w:val="004B1BB7"/>
    <w:rPr>
      <w:rFonts w:asciiTheme="majorHAnsi" w:eastAsiaTheme="minorEastAsia" w:hAnsiTheme="majorHAnsi" w:cs="Times New Roman"/>
      <w:b/>
      <w:kern w:val="28"/>
      <w:sz w:val="108"/>
    </w:rPr>
  </w:style>
  <w:style w:type="paragraph" w:styleId="CommentSubject">
    <w:name w:val="annotation subject"/>
    <w:basedOn w:val="CommentText"/>
    <w:next w:val="CommentText"/>
    <w:link w:val="CommentSubjectChar"/>
    <w:uiPriority w:val="99"/>
    <w:semiHidden/>
    <w:unhideWhenUsed/>
    <w:rsid w:val="004B1BB7"/>
    <w:rPr>
      <w:b/>
      <w:bCs/>
    </w:rPr>
  </w:style>
  <w:style w:type="character" w:customStyle="1" w:styleId="CommentSubjectChar">
    <w:name w:val="Comment Subject Char"/>
    <w:basedOn w:val="CommentTextChar"/>
    <w:link w:val="CommentSubject"/>
    <w:uiPriority w:val="99"/>
    <w:semiHidden/>
    <w:rsid w:val="004B1BB7"/>
    <w:rPr>
      <w:b/>
      <w:bCs/>
      <w:sz w:val="20"/>
      <w:szCs w:val="20"/>
    </w:rPr>
  </w:style>
  <w:style w:type="character" w:customStyle="1" w:styleId="Mention1">
    <w:name w:val="Mention1"/>
    <w:basedOn w:val="DefaultParagraphFont"/>
    <w:uiPriority w:val="99"/>
    <w:unhideWhenUsed/>
    <w:rPr>
      <w:color w:val="2B579A"/>
      <w:shd w:val="clear" w:color="auto" w:fill="E6E6E6"/>
    </w:rPr>
  </w:style>
  <w:style w:type="paragraph" w:styleId="Header">
    <w:name w:val="header"/>
    <w:basedOn w:val="Normal"/>
    <w:link w:val="HeaderChar"/>
    <w:uiPriority w:val="99"/>
    <w:unhideWhenUsed/>
    <w:rsid w:val="009B0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BC4"/>
  </w:style>
  <w:style w:type="paragraph" w:styleId="Footer">
    <w:name w:val="footer"/>
    <w:basedOn w:val="Normal"/>
    <w:link w:val="FooterChar"/>
    <w:uiPriority w:val="99"/>
    <w:unhideWhenUsed/>
    <w:rsid w:val="009B0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BC4"/>
  </w:style>
  <w:style w:type="character" w:customStyle="1" w:styleId="normaltextrun">
    <w:name w:val="normaltextrun"/>
    <w:basedOn w:val="DefaultParagraphFont"/>
    <w:rsid w:val="00033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FB1ABC7264D09AFF8E828467AF88B"/>
        <w:category>
          <w:name w:val="General"/>
          <w:gallery w:val="placeholder"/>
        </w:category>
        <w:types>
          <w:type w:val="bbPlcHdr"/>
        </w:types>
        <w:behaviors>
          <w:behavior w:val="content"/>
        </w:behaviors>
        <w:guid w:val="{DDCAF65A-9AE6-4579-B250-1A4B7BA8069F}"/>
      </w:docPartPr>
      <w:docPartBody>
        <w:p w:rsidR="0099198C" w:rsidRDefault="009872FD" w:rsidP="009872FD">
          <w:pPr>
            <w:pStyle w:val="433FB1ABC7264D09AFF8E828467AF88B"/>
          </w:pPr>
          <w:r w:rsidRPr="006F57FD">
            <w:t>To:</w:t>
          </w:r>
        </w:p>
      </w:docPartBody>
    </w:docPart>
    <w:docPart>
      <w:docPartPr>
        <w:name w:val="E80F42867D77449D8A3DE2D8A0C67D84"/>
        <w:category>
          <w:name w:val="General"/>
          <w:gallery w:val="placeholder"/>
        </w:category>
        <w:types>
          <w:type w:val="bbPlcHdr"/>
        </w:types>
        <w:behaviors>
          <w:behavior w:val="content"/>
        </w:behaviors>
        <w:guid w:val="{D6CB0991-50CB-4631-8450-60B647C7903F}"/>
      </w:docPartPr>
      <w:docPartBody>
        <w:p w:rsidR="0099198C" w:rsidRDefault="009872FD" w:rsidP="009872FD">
          <w:pPr>
            <w:pStyle w:val="E80F42867D77449D8A3DE2D8A0C67D84"/>
          </w:pPr>
          <w:r w:rsidRPr="006F57FD">
            <w:t>From:</w:t>
          </w:r>
        </w:p>
      </w:docPartBody>
    </w:docPart>
    <w:docPart>
      <w:docPartPr>
        <w:name w:val="8E6D49E7EAEF4FB8A47FEA332A3CE1A9"/>
        <w:category>
          <w:name w:val="General"/>
          <w:gallery w:val="placeholder"/>
        </w:category>
        <w:types>
          <w:type w:val="bbPlcHdr"/>
        </w:types>
        <w:behaviors>
          <w:behavior w:val="content"/>
        </w:behaviors>
        <w:guid w:val="{667D2D36-647C-4D2D-86EF-D60AD04A7B3C}"/>
      </w:docPartPr>
      <w:docPartBody>
        <w:p w:rsidR="0099198C" w:rsidRDefault="009872FD" w:rsidP="009872FD">
          <w:pPr>
            <w:pStyle w:val="8E6D49E7EAEF4FB8A47FEA332A3CE1A9"/>
          </w:pPr>
          <w:r w:rsidRPr="006F57FD">
            <w:t>Date:</w:t>
          </w:r>
        </w:p>
      </w:docPartBody>
    </w:docPart>
    <w:docPart>
      <w:docPartPr>
        <w:name w:val="45616438E2B9435DA639AE9A911BCCDC"/>
        <w:category>
          <w:name w:val="General"/>
          <w:gallery w:val="placeholder"/>
        </w:category>
        <w:types>
          <w:type w:val="bbPlcHdr"/>
        </w:types>
        <w:behaviors>
          <w:behavior w:val="content"/>
        </w:behaviors>
        <w:guid w:val="{04FE4872-7B97-4860-8829-B11CBF029AC6}"/>
      </w:docPartPr>
      <w:docPartBody>
        <w:p w:rsidR="0099198C" w:rsidRDefault="009872FD" w:rsidP="009872FD">
          <w:pPr>
            <w:pStyle w:val="45616438E2B9435DA639AE9A911BCCDC"/>
          </w:pPr>
          <w:r w:rsidRPr="006F57FD">
            <w:t>Re:</w:t>
          </w:r>
        </w:p>
      </w:docPartBody>
    </w:docPart>
    <w:docPart>
      <w:docPartPr>
        <w:name w:val="2FF65741F0034EF99C653B061577E144"/>
        <w:category>
          <w:name w:val="General"/>
          <w:gallery w:val="placeholder"/>
        </w:category>
        <w:types>
          <w:type w:val="bbPlcHdr"/>
        </w:types>
        <w:behaviors>
          <w:behavior w:val="content"/>
        </w:behaviors>
        <w:guid w:val="{F0FE3994-1141-4073-9837-BF6949FD7DC7}"/>
      </w:docPartPr>
      <w:docPartBody>
        <w:p w:rsidR="00BC3CD8" w:rsidRDefault="009872FD">
          <w:pPr>
            <w:pStyle w:val="2FF65741F0034EF99C653B061577E144"/>
          </w:pPr>
          <w:r>
            <w:t>Memo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2FD"/>
    <w:rsid w:val="00144530"/>
    <w:rsid w:val="003D3CDC"/>
    <w:rsid w:val="005E39DC"/>
    <w:rsid w:val="007965E1"/>
    <w:rsid w:val="009872FD"/>
    <w:rsid w:val="0099198C"/>
    <w:rsid w:val="009D1187"/>
    <w:rsid w:val="00A313D5"/>
    <w:rsid w:val="00BC3CD8"/>
    <w:rsid w:val="00CE740E"/>
    <w:rsid w:val="00D81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3FB1ABC7264D09AFF8E828467AF88B">
    <w:name w:val="433FB1ABC7264D09AFF8E828467AF88B"/>
    <w:rsid w:val="009872FD"/>
  </w:style>
  <w:style w:type="paragraph" w:customStyle="1" w:styleId="E80F42867D77449D8A3DE2D8A0C67D84">
    <w:name w:val="E80F42867D77449D8A3DE2D8A0C67D84"/>
    <w:rsid w:val="009872FD"/>
  </w:style>
  <w:style w:type="paragraph" w:customStyle="1" w:styleId="8E6D49E7EAEF4FB8A47FEA332A3CE1A9">
    <w:name w:val="8E6D49E7EAEF4FB8A47FEA332A3CE1A9"/>
    <w:rsid w:val="009872FD"/>
  </w:style>
  <w:style w:type="paragraph" w:customStyle="1" w:styleId="45616438E2B9435DA639AE9A911BCCDC">
    <w:name w:val="45616438E2B9435DA639AE9A911BCCDC"/>
    <w:rsid w:val="009872FD"/>
  </w:style>
  <w:style w:type="paragraph" w:customStyle="1" w:styleId="2FF65741F0034EF99C653B061577E144">
    <w:name w:val="2FF65741F0034EF99C653B061577E1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Project xmlns="43fd2dc2-6885-4ca9-a93c-44ea66ce61ff" xsi:nil="true"/>
    <_dlc_DocId xmlns="7efad4c8-4345-42d0-8bd0-40daebf7d645">2SFZMWCQNUDK-769653890-83792</_dlc_DocId>
    <_dlc_DocIdUrl xmlns="7efad4c8-4345-42d0-8bd0-40daebf7d645">
      <Url>https://umuc365.sharepoint.com/sites/AA-CourseDevelopment-US/_layouts/15/DocIdRedir.aspx?ID=2SFZMWCQNUDK-769653890-83792</Url>
      <Description>2SFZMWCQNUDK-769653890-83792</Description>
    </_dlc_DocIdUrl>
    <Dimensions xmlns="43fd2dc2-6885-4ca9-a93c-44ea66ce61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DA78AB7C9B8C4299C0CBFDC40F5818" ma:contentTypeVersion="14" ma:contentTypeDescription="Create a new document." ma:contentTypeScope="" ma:versionID="458e0d769fed3562434a2dd840108ff9">
  <xsd:schema xmlns:xsd="http://www.w3.org/2001/XMLSchema" xmlns:xs="http://www.w3.org/2001/XMLSchema" xmlns:p="http://schemas.microsoft.com/office/2006/metadata/properties" xmlns:ns2="43fd2dc2-6885-4ca9-a93c-44ea66ce61ff" xmlns:ns3="7efad4c8-4345-42d0-8bd0-40daebf7d645" targetNamespace="http://schemas.microsoft.com/office/2006/metadata/properties" ma:root="true" ma:fieldsID="b6979829dfdafccebc448a3845bb6aff" ns2:_="" ns3:_="">
    <xsd:import namespace="43fd2dc2-6885-4ca9-a93c-44ea66ce61ff"/>
    <xsd:import namespace="7efad4c8-4345-42d0-8bd0-40daebf7d6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3:_dlc_DocId" minOccurs="0"/>
                <xsd:element ref="ns3:_dlc_DocIdUrl" minOccurs="0"/>
                <xsd:element ref="ns3:_dlc_DocIdPersistId"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Project" minOccurs="0"/>
                <xsd:element ref="ns2:Dimen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d2dc2-6885-4ca9-a93c-44ea66ce61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Project" ma:index="23" nillable="true" ma:displayName="Purpose" ma:format="Dropdown" ma:internalName="Project">
      <xsd:simpleType>
        <xsd:union memberTypes="dms:Text">
          <xsd:simpleType>
            <xsd:restriction base="dms:Choice">
              <xsd:enumeration value="New course development"/>
              <xsd:enumeration value="Course revision"/>
              <xsd:enumeration value="Program planning"/>
              <xsd:enumeration value="Quality Assurance"/>
            </xsd:restriction>
          </xsd:simpleType>
        </xsd:union>
      </xsd:simpleType>
    </xsd:element>
    <xsd:element name="Dimensions" ma:index="24" nillable="true" ma:displayName="Dimensions" ma:internalName="Dimension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fad4c8-4345-42d0-8bd0-40daebf7d6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5D6175-70CE-41EE-8832-E284F1765889}">
  <ds:schemaRefs>
    <ds:schemaRef ds:uri="http://schemas.microsoft.com/sharepoint/events"/>
  </ds:schemaRefs>
</ds:datastoreItem>
</file>

<file path=customXml/itemProps2.xml><?xml version="1.0" encoding="utf-8"?>
<ds:datastoreItem xmlns:ds="http://schemas.openxmlformats.org/officeDocument/2006/customXml" ds:itemID="{ED70F83B-159B-4954-B9B3-D45373D1EFF8}">
  <ds:schemaRefs>
    <ds:schemaRef ds:uri="http://schemas.microsoft.com/office/2006/metadata/properties"/>
    <ds:schemaRef ds:uri="http://schemas.microsoft.com/office/infopath/2007/PartnerControls"/>
    <ds:schemaRef ds:uri="43fd2dc2-6885-4ca9-a93c-44ea66ce61ff"/>
    <ds:schemaRef ds:uri="7efad4c8-4345-42d0-8bd0-40daebf7d645"/>
  </ds:schemaRefs>
</ds:datastoreItem>
</file>

<file path=customXml/itemProps3.xml><?xml version="1.0" encoding="utf-8"?>
<ds:datastoreItem xmlns:ds="http://schemas.openxmlformats.org/officeDocument/2006/customXml" ds:itemID="{40FFEA84-CB90-4D32-92A8-4DCC7E284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d2dc2-6885-4ca9-a93c-44ea66ce61ff"/>
    <ds:schemaRef ds:uri="7efad4c8-4345-42d0-8bd0-40daebf7d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E1AD25-FBEC-4D6D-A905-19C49EFC81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1 Template</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Template</dc:title>
  <dc:subject/>
  <dc:creator>Jessica McCarty</dc:creator>
  <cp:keywords/>
  <dc:description/>
  <cp:lastModifiedBy>reece zunino</cp:lastModifiedBy>
  <cp:revision>7</cp:revision>
  <dcterms:created xsi:type="dcterms:W3CDTF">2022-03-08T03:53:00Z</dcterms:created>
  <dcterms:modified xsi:type="dcterms:W3CDTF">2022-03-12T04:10:00Z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0x0101006EDA78AB7C9B8C4299C0CBFDC40F5818</vt:lpwstr>
  </property>
  <property fmtid="{D5CDD505-2E9C-101B-9397-08002B2CF9AE}" pid="3" name="_dlc_DocIdItemGuid">
    <vt:lpwstr>cb53539a-cbf1-40b9-9435-57cfed3131cf</vt:lpwstr>
  </property>
</Properties>
</file>