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 MCM Problem C 第一问完整解题流程文档（适配</w:t>
      </w:r>
      <w:r>
        <w:rPr>
          <w:rFonts w:eastAsia="等线" w:ascii="Arial" w:cs="Arial" w:hAnsi="Arial"/>
          <w:b w:val="true"/>
          <w:sz w:val="52"/>
        </w:rPr>
        <w:t>第28季赛制变更版）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一、问题定义与核心目标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问题背景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星随舞动》（DWTS）赛事中，粉丝投票占比是决定选手淘汰的关键隐藏变量。已知历史评委评分、淘汰结果及选手行业信息，需通过逆向建模方法，反推每位选手各周的粉丝投票占比，并量化估算结果的可靠性，验证模型与赛事规则、历史结果的一致性。特别注意：第27季出现争议案例——名人选手鲍比·伯恩斯虽评委打分持续偏低，却最终夺冠；为此第28季起淘汰流程调整为双阶段淘汰，同时恢复前两季使用的“排名结合法”（排名制），模型需适配该赛制变更及争议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构建逆向优化模型，从可观测数据（评委分+淘汰结果）反推不可观测的粉丝投票占比份额，适配第28季双阶段淘汰赛制及排名制恢复需求；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设计确定性量化指标，评估不同周次、不同选手投票占比估算结果的可信度，无需额外添加稳健性修正模块；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验证模型输出与历史淘汰结果（含第27季争议案例）的一致性，确保模型符合各赛季赛事规则逻辑，尤其适配第28季双阶段淘汰规则。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二、模型构建：EP-FROM模型（基于演化先验的自适应可行域优化模型）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模型原理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动态贝叶斯网络（DBN）的时序预测能力与逆向优化的硬约束拟合能力，通过“先验锚定-约束切割-稳健求解”三阶逻辑实现投票占比反推。核心思路：以选手人气时序演化规律生成初始投票先验，结合第27季争议案例优化先验生成逻辑，用各赛季规则（含第28季双阶段淘汰）构建可行域边界，在可行域内通过切比雪夫中心求解最稳健的投票估算值，同时以可行域几何特征量化估算确定性，无需额外添加稳健性修正模块，通过先验优化与约束设计实现结果稳健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建模前提与假设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选手人气具有时序连续性，当期投票占比受历史人气、行业固有吸引力及随机扰动影响，同时考虑争议案例中“评委分低但人气高”的特殊情况；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淘汰结果严格遵循赛事规则（排名制/百分比制，含第28季双阶段淘汰），无违规操作或数据异常；第28季双阶段淘汰中，评委终裁仅针对排名末两位选手，不影响前序排名筛选；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评委评分已标准化处理，可与粉丝投票占比进行线性组合用于排名计算，适配第28季“评委分+观众投票”筛选末两位的规则；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投票占比取值范围为[0.01, 0.99]，避免0或1的极端情况（无绝对零票或全票选手）；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第28季及以后赛季统一采用排名制（恢复排名结合法），双阶段淘汰仅改变淘汰流程，不改变排名制的核心计分逻辑。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超参数设定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历史人气影响系数α=0.7（体现人气惯性，可通过交叉验证微调）；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最大可行域半径T_max=0.3（限制内切球半径上限，确保解的合理性）；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松弛因子δ=10⁻⁴（避免等式约束导致的无解问题）；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Big-M法常数M=0.5（排名制约束中刻画投票占比大小关系的足够大常数）；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随机扰动项εᵢₜ：普通选手εᵢₜ~N(0, 0.01²)（模拟突发人气波动）；第27季争议案例相关选手及同类高人气、低评委分选手，εᵢₜ~N(0.02, 0.01²)（正向偏移，适配“评委分低但人气高”的情况）；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行业权重校准系数β=0.2（用于争议案例相关行业的权重回溯校准）。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三、完整解题步骤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步骤1：数据预处理与参数初始化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提取：从赛事历史数据中提取核心字段，包括选手基础信息（姓名、所属行业）、各周评委总分、淘汰结果（是否淘汰、淘汰周次）、赛季标识（区分第28季前后）；额外标记第27季鲍比·伯恩斯相关数据及同类争议案例（评委分持续偏低但晋级/夺冠的选手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权重校准：基于各行业选手平均晋级周数计算初始行业固有吸引力权重γᵢ，公式为γᵢ=行业平均晋级周数/所有行业平均晋级周数均值；对第27季争议案例所属行业，进行回溯校准，校准后行业权重γᵢ'=γᵢ×(1+β)（β=0.2），体现该行业粉丝基础优势，适配争议案例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数据标准化：对评委总分进行Min-Max归一化处理，得到评委分占比p^Jᵢₜ，公式为：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超参数初始化：设定α、T_max、δ、M、β等超参数初始值，后续可通过交叉验证优化；标记低评委分高人气选手（评委分p^Jᵢₜ&lt;0.3且未淘汰/夺冠），用于后续扰动项调整。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步骤2：演化先验生成（DBN层）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基于动态贝叶斯网络生成当期粉丝投票的初始预测锚点，体现人气的时序演化特征，同时适配第27季争议案例，无需额外稳健性修正：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原始先验计算：</w:t>
        <w:br/>
        <w:t xml:space="preserve">        </w:t>
        <w:br/>
        <w:t>普通选手（无争议、评委分正常）：</w:t>
        <w:br/>
        <w:t xml:space="preserve">       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=α·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i,t-1</m:t>
            </m:r>
          </m:sub>
        </m:sSub>
        <m:r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·</m:t>
        </m:r>
        <m:sSub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>
        <w:rPr>
          <w:rFonts w:eastAsia="等线" w:ascii="Arial" w:cs="Arial" w:hAnsi="Arial"/>
          <w:sz w:val="22"/>
        </w:rPr>
        <w:br/>
        <w:t>争议案例相关选手、低评委分高人气选手：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=α·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i,t-1</m:t>
            </m:r>
          </m:sub>
        </m:sSub>
        <m:r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·</m:t>
        </m:r>
        <m:sSup>
          <m:e>
            <m:sSub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>
        <w:rPr>
          <w:rFonts w:eastAsia="等线" w:ascii="Arial" w:cs="Arial" w:hAnsi="Arial"/>
          <w:sz w:val="22"/>
        </w:rPr>
        <w:t>其中vᵢₜ₋₁为选手i第t-1周的投票占比（初始周次取行业平均占比），γᵢ为初始行业固有吸引力权重，γᵢ'为校准后行业权重，εᵢₜ为对应类型选手的随机扰动项；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归一化处理：将原始先验转化为占比形式v_prior,i,t，满足投票占比求和为1的约束：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步骤3：可行域约束构建（FROM层）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根据赛季规则（排名制/百分比制）将淘汰结果转化为数学约束，重点补充第28季双阶段淘汰约束，切割出符合逻辑的投票向量可行域Ωₜ；无需添加稳健性修正相关约束：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（1）百分比制约束（Season 3-27）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安全选手的组合得分（评委分占比+粉丝投票占比）必须高于淘汰选手，约束公式为：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j,t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j,t</m:t>
            </m:r>
          </m:sub>
        </m:sSub>
        <m:r>
          <w:rPr>
            <w:rFonts w:ascii="Cambria Math" w:hAnsi="Cambria Math"/>
          </w:rPr>
          <m:t>≥</m:t>
        </m:r>
        <m:sSubSup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k,t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k,t</m:t>
            </m:r>
          </m:sub>
        </m:sSub>
        <m: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∀j∈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,k∈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其中j为安全选手，k为淘汰选手，δ为松弛因子；针对第27季争议案例，该约束正常适用，通过先验优化（γᵢ'、εᵢₜ正向偏移）确保鲍比·伯恩斯等选手的投票占比估算值符合夺冠逻辑，无需额外修正。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（2）排名制约束（Season 1-2、28-34）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第28季及以后赛季恢复排名制，采用Big-M法将排名逻辑转化为整数线性约束，设zᵢⱼₜ∈{0,1}（z=1表示vᵢₜ&lt;vⱼₜ），约束公式为：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j,t</m:t>
            </m:r>
          </m:sub>
        </m:sSub>
        <m:r>
          <w:rPr>
            <w:rFonts w:ascii="Cambria Math" w:hAnsi="Cambria Math"/>
          </w:rPr>
          <m:t>≤M·</m:t>
        </m:r>
        <m:sSub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i,j,t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j,t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≤M·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sSub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i,j,t</m:t>
                </m:r>
              </m:sub>
            </m:sSub>
          </m:e>
        </m: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Sup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  <m:sup>
            <m:r>
              <w:rPr>
                <w:rFonts w:ascii="Cambria Math" w:hAnsi="Cambria Math"/>
              </w:rPr>
              <m:t>F</m:t>
            </m:r>
          </m:sup>
        </m:sSubSup>
        <m:r>
          <w:rPr>
            <w:rFonts w:ascii="Cambria Math" w:hAnsi="Cambria Math"/>
          </w:rPr>
          <m:t>-</m:t>
        </m:r>
        <m:sSubSup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j,t</m:t>
            </m:r>
          </m:sub>
          <m:sup>
            <m:r>
              <w:rPr>
                <w:rFonts w:ascii="Cambria Math" w:hAnsi="Cambria Math"/>
              </w:rPr>
              <m:t>F</m:t>
            </m:r>
          </m:sup>
        </m:sSubSup>
        <m:r>
          <w:rPr>
            <w:rFonts w:ascii="Cambria Math" w:hAnsi="Cambria Math"/>
          </w:rPr>
          <m:t>≤</m:t>
        </m:r>
        <m:sSub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·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sSub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i,j,t</m:t>
                </m:r>
              </m:sub>
            </m:sSub>
          </m:e>
        </m:d>
        <m:r>
          <w:rPr>
            <w:rFonts w:ascii="Cambria Math" w:hAnsi="Cambria Math"/>
          </w:rPr>
          <m:t>-1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其中r^Fᵢₜ为选手i第t周的粉丝投票排名（数值越小排名越靠前），Nₜ为第t周参赛选手总数；该约束同时适用于第28季双阶段淘汰的“阶段1：末两位筛选”。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（3）第28季及以后双阶段淘汰专属约束（阶段2：评委终裁）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在阶段1筛选出排名末两位选手（m、n）后，新增评委终裁约束，刻画“评委投票决定淘汰其中1人”的逻辑，不改变阶段1的排名约束：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定义虚拟变量qₘₜ∈{0,1}（q=1表示选手m被评委淘汰，q=0表示选手n被淘汰），约束公式为：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n,t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m,t</m:t>
            </m:r>
          </m:sub>
        </m:sSub>
        <m:r>
          <w:rPr>
            <w:rFonts w:ascii="Cambria Math" w:hAnsi="Cambria Math"/>
          </w:rPr>
          <m:t>≤M·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sSub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m,t</m:t>
                </m:r>
              </m:sub>
            </m:sSub>
          </m:e>
        </m: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M=0.5（与排名制约束一致），核心逻辑：末两位选手的投票占比大小关系不直接决定淘汰结果，仅作为阶段1的筛选依据，最终淘汰由评委主观决策（通过虚拟变量刻画该不确定性），无需额外添加稳健性修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步骤4：切比雪夫中心求解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在可行域Ωₜ内最大化内切球半径，得到最稳健的粉丝投票估算值（切比雪夫中心），确保估算结果对约束微小波动的抗干扰性，无需额外添加稳健性修正相关求解步骤：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目标函数（最大化内切球半径）：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约束条件：</w:t>
        <w:br/>
        <w:t xml:space="preserve">        </w:t>
        <w:br/>
        <w:t>通用约束：</w:t>
        <w:br/>
        <w:t xml:space="preserve">       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</w:rPr>
              <m:t>i∈</m:t>
            </m:r>
            <m:sSub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  <m:sup/>
          <m:e/>
        </m:nary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prior,i,t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∀i∈</m:t>
        </m:r>
        <m:sSub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FROM层约束条件（对应赛季规则+第28季双阶段约束）</m:t>
        </m:r>
      </m:oMath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0.01≤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≤0.99,0≤r≤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="等线" w:ascii="Arial" w:cs="Arial" w:hAnsi="Arial"/>
          <w:sz w:val="22"/>
        </w:rPr>
        <w:br/>
        <w:t>第28季及以后额外约束（阶段2评委终裁）：</w:t>
        <w:br/>
        <w:t xml:space="preserve">       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m,t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n,t</m:t>
            </m:r>
          </m:sub>
        </m:sSub>
        <m:r>
          <w:rPr>
            <w:rFonts w:ascii="Cambria Math" w:hAnsi="Cambria Math"/>
          </w:rPr>
          <m:t>≤M·</m:t>
        </m:r>
        <m:sSub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m,t</m:t>
            </m:r>
          </m:sub>
        </m:sSub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n,t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m,t</m:t>
            </m:r>
          </m:sub>
        </m:sSub>
        <m:r>
          <w:rPr>
            <w:rFonts w:ascii="Cambria Math" w:hAnsi="Cambria Math"/>
          </w:rPr>
          <m:t>≤M·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sSub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m,t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（m、n为阶段1筛选出的末两位选手）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求解工具：可使用Gurobi、CPLEX等整数规划求解器，或Python pulp库实现数值求解；第28季双阶段约束的虚拟变量qₘₜ随投票占比v同步求解，得到淘汰结果预测。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步骤5：确定性量化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基于可行域内切球半径计算确定性指数，同时结合熵值和变异系数（CV）构建多维度可信度评估体系，无需添加稳健性修正相关的量化指标：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（1）确定性指数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index,t</m:t>
            </m:r>
          </m:sub>
        </m:sSub>
        <m:r>
          <w:rPr>
            <w:rFonts w:ascii="Cambria Math" w:hAnsi="Cambria Math"/>
          </w:rPr>
          <m:t>=1-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num>
          <m:den>
            <m:sSub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其中r*为最优内切球半径，C_index,t∈[0,1]。判定标准：C_index,t≥0.8为高确定性，0.5≤C_index,t&lt;0.8为中等确定性，C_index,t&lt;0.5为低确定性；第28季及以后赛季，因评委终裁引入额外不确定性，确定性指数需修正为：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index,t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1-0.3·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stage2,t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（I_{stage2,t}=1表示第28季及以后赛季，0.3为评委终裁的不确定性权重）。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（2）熵值计算（可行域熵）</w:t>
      </w:r>
      <w:bookmarkEnd w:id="1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计算每位选手投票占比可行域宽度：wᵢ=Vote_Upper_Bound,i - Vote_Lower_Bound,i；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归一化得到不确定性权重：pᵢ=wᵢ/∑wᵢ；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计算熵值：H=-∑pᵢ·ln(pᵢ)（熵值越小，投票组合越集中，确定性越高）。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（3）变异系数计算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CV=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σ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i,t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μ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i,t</m:t>
                    </m:r>
                  </m:sub>
                </m:sSub>
              </m:e>
            </m:d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其中σ为第t周所有选手投票占比的标准差，μ为均值（CV越小，投票分布越集中，确定性越高）。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步骤6：结果验证与一致性评估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（1）ACC指标验证（淘汰预测准确率）</w:t>
      </w:r>
      <w:bookmarkEnd w:id="2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第28季前（单阶段淘汰）：ACC=当期“投票占比最低的k名选手”与“实际淘汰选手”的重合数/当期实际淘汰人数k；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第28季及以后（双阶段淘汰）：ACC分为两层计算——阶段1准确率=估算末两位与实际末两位的重合数/2；最终淘汰准确率=估算淘汰选手（基于阶段2评委终裁约束）与实际淘汰选手的重合数/1；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评估标准：ACC≥0.8为优秀，0.5≤ACC&lt;0.8为良好，ACC&lt;0.5为较差，验证模型与淘汰结果的一致性；重点验证第27季争议案例的估算结果，确保鲍比·伯恩斯等选手的投票占比符合夺冠逻辑。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（2）稳健性分析（无需额外稳健性修正，仅通过以下维度验证）</w:t>
      </w:r>
      <w:bookmarkEnd w:id="2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时序稳定性：分析各赛季不同周次的ACC、确定性指数变化趋势，验证模型收敛性；重点分析第27季争议案例周次、第28季赛制切换周次的稳定性；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异常点分析：识别ACC偏低或确定性指数异常的周次，排查是否为赛制切换、数据异常或模型假设偏差导致；重点排查第28季双阶段淘汰中“评委终裁与投票占比不符”的周次；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敏感性分析：调整α、T_max等超参数，观察投票占比估算结果的波动幅度，评估模型对超参数的敏感性；同时验证争议案例相关参数（β、εᵢₜ分布）调整对结果的影响，确保结果稳健。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四、核心公式汇总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评委分占比归一化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∪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∪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∪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</m:e>
                  </m:d>
                </m:den>
              </m:f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将评委总分标准化为[0,1]区间的占比，用于与投票占比组合计算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行业权重校准（争议相关）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1+β</m:t>
                  </m:r>
                </m:e>
              </m:d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对争议案例所属行业进行权重校准，适配高人气低评委分情况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演化先验（普通选手）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=α·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i,t-1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基于时序连续性生成当期投票先验值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演化先验（争议相关选手）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=α·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i,t-1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适配争议案例，通过校准权重和正向扰动生成先验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演化先验（归一化）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prior,i,t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</w:rPr>
                        <m:t>k∈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sub>
                    <m:sup/>
                    <m:e/>
                  </m:nary>
                  <m:sSub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k,t</m:t>
                      </m:r>
                    </m:sub>
                  </m:sSub>
                </m:den>
              </m:f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将原始先验转化为满足占比约束的初始锚点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百分比制约束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j,t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j,t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k,t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k,t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安全选手组合得分高于淘汰选手的约束条件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排名制约束（占比关系）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j,t</m:t>
                  </m:r>
                </m:sub>
              </m:sSub>
              <m:r>
                <w:rPr>
                  <w:rFonts w:ascii="Cambria Math" w:hAnsi="Cambria Math"/>
                </w:rPr>
                <m:t>≤M·</m:t>
              </m:r>
              <m:sSub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i,j,t</m:t>
                  </m:r>
                </m:sub>
              </m:sSub>
            </m:oMath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j,t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≤M·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i,j,t</m:t>
                      </m:r>
                    </m:sub>
                  </m:sSub>
                </m:e>
              </m:d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刻画选手投票占比大小关系的整数线性约束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排名制约束（排名关系）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  <m:sup>
                  <m:r>
                    <w:rPr>
                      <w:rFonts w:ascii="Cambria Math" w:hAnsi="Cambria Math"/>
                    </w:rPr>
                    <m:t>F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j,t</m:t>
                  </m:r>
                </m:sub>
                <m:sup>
                  <m:r>
                    <w:rPr>
                      <w:rFonts w:ascii="Cambria Math" w:hAnsi="Cambria Math"/>
                    </w:rPr>
                    <m:t>F</m:t>
                  </m:r>
                </m:sup>
              </m:sSubSup>
              <m:r>
                <w:rPr>
                  <w:rFonts w:ascii="Cambria Math" w:hAnsi="Cambria Math"/>
                </w:rPr>
                <m:t>≤</m:t>
              </m:r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i,j,t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将占比关系转化为排名序数约束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第28季双阶段终裁约束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m,t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n,t</m:t>
                  </m:r>
                </m:sub>
              </m:sSub>
              <m:r>
                <w:rPr>
                  <w:rFonts w:ascii="Cambria Math" w:hAnsi="Cambria Math"/>
                </w:rPr>
                <m:t>≤M·</m:t>
              </m:r>
              <m:sSub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m,t</m:t>
                  </m:r>
                </m:sub>
              </m:sSub>
            </m:oMath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n,t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m,t</m:t>
                  </m:r>
                </m:sub>
              </m:sSub>
              <m:r>
                <w:rPr>
                  <w:rFonts w:ascii="Cambria Math" w:hAnsi="Cambria Math"/>
                </w:rPr>
                <m:t>≤M·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m,t</m:t>
                      </m:r>
                    </m:sub>
                  </m:sSub>
                </m:e>
              </m:d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刻画第28季评委终裁逻辑，虚拟变量表示淘汰结果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切比雪夫中心目标函数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v,t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最大化可行域内切球半径，求解最稳健的投票占比估算值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确定性指数（第28季前）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index,t</m:t>
                  </m:r>
                </m:sub>
              </m:sSub>
              <m:r>
                <w:rPr>
                  <w:rFonts w:ascii="Cambria Math" w:hAnsi="Cambria Math"/>
                </w:rPr>
                <m:t>=1-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量化估算结果的确定性，取值范围[0,1]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确定性指数（第28季及以后）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index,t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1-0.3·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stage2,t</m:t>
                      </m:r>
                    </m:sub>
                  </m:sSub>
                </m:e>
              </m:d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修正评委终裁的不确定性，更贴合双阶段淘汰逻辑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熵值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r>
                <w:rPr>
                  <w:rFonts w:ascii="Cambria Math" w:hAnsi="Cambria Math"/>
                </w:rPr>
                <m:t>H=-∑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·ln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/∑</m:t>
              </m:r>
              <m:sSub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反映投票组合集中程度，熵值越小确定性越高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变异系数（CV）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r>
                <w:rPr>
                  <w:rFonts w:ascii="Cambria Math" w:hAnsi="Cambria Math"/>
                </w:rPr>
                <m:t>CV=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i,t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i,t</m:t>
                          </m:r>
                        </m:sub>
                      </m:sSub>
                    </m:e>
                  </m:d>
                </m:den>
              </m:f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反映投票分布离散度，CV越小确定性越高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ACC指标（双阶段适配）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阶段1：重合数/2；最终：重合数/1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验证模型与双阶段淘汰结果的一致性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五、结果输出与可视化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 核心输出结果</w:t>
      </w:r>
      <w:bookmarkEnd w:id="2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选手-周次投票占比矩阵：包含每位选手各周的投票占比估算值、可行域上下界；重点标注第27季争议案例选手、第28季双阶段淘汰末两位选手及淘汰结果；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确定性评估结果：各周次的确定性指数、熵值、CV值，及对应的确定性等级（高/中/低）；第28季及以后需区分“阶段1确定性”和“最终淘汰确定性”；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一致性验证结果：各周次ACC值（第28季及以后需包含阶段1和最终淘汰两层ACC），及整体平均ACC、优秀周次占比等统计指标；重点验证第27季争议案例的估算合理性；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赛制适配性验证结果：对比第28季前后ACC、确定性指数的变化，验证模型对双阶段淘汰+排名制恢复的适配能力。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可视化图表</w:t>
      </w:r>
      <w:bookmarkEnd w:id="2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投票占比时序趋势图：展示重点选手（含鲍比·伯恩斯）各周投票占比变化，直观反映人气波动及争议案例的合理性；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ACC趋势图：展示各周次ACC值变化，标注优秀阈值（ACC=0.8）、第28季赛制切换节点、低一致性异常点；第28季及以后需同时展示阶段1和最终淘汰ACC；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确定性散点图：以熵值为X轴、CV为Y轴，不同颜色标记高/中/低确定性周次，区分第28季前后数据，呈现可信度分布；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3D可视化图：X轴为周次、Y轴为选手、Z轴为投票占比，气泡大小映射评委打分，不同颜色标记第28季前后、争议案例选手，多维度展示计算结果；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第28季双阶段淘汰可视化图：展示阶段1末两位筛选结果、阶段2评委终裁淘汰结果，对比投票占比与淘汰结果的关系，验证约束合理性。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六、模型优缺点分析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优点</w:t>
      </w:r>
      <w:bookmarkEnd w:id="2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融合时序预测与逆向优化，通过先验优化（争议案例适配）与约束设计实现结果稳健性，无需额外添加稳健性修正模块，结构简洁；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全面适配各赛季规则，重点优化第28季双阶段淘汰+排名制恢复的约束逻辑，同时适配第27季争议案例，通用性和针对性强；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构建多维度确定性评估体系，不仅输出估算结果，还量化结果可信度，同时补充双阶段淘汰的分层验证，便于后续分析；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约束条件设计贴合赛事规则（含双阶段淘汰流程），模型可解释性强，结果符合实际赛事逻辑，尤其能合理解释争议案例；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第28季双阶段约束通过虚拟变量刻画评委终裁的不确定性，更贴合实际淘汰流程，避免模型过度拟合“投票占比决定一切”的逻辑。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缺点</w:t>
      </w:r>
      <w:bookmarkEnd w:id="2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对初始先验依赖较强，赛季初期（无历史数据）的先验设定可能影响估算准确性；争议案例相关参数（β、εᵢₜ分布）的设定带有一定主观性，需通过交叉验证优化；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未考虑选手突发舆情、跨界合作等外部因素对人气的影响，随机扰动项仅能模拟小幅波动，难以覆盖极端人气变化；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整数规划求解在选手数量较多时可能存在计算效率问题，第28季双阶段约束新增虚拟变量后，求解复杂度略有提升，需优化求解算法；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第28季评委终裁的不确定性通过固定权重（0.3）修正，未考虑不同周次评委决策偏好的差异，可能影响部分周次的确定性量化准确性。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七、注意事项与常见问题解决</w:t>
      </w:r>
      <w:bookmarkEnd w:id="2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数据缺失处理：若某选手部分周次评委分缺失，可采用相邻周次评分插值填补，或标记为异常数据剔除；第28季双阶段淘汰数据需额外确认“末两位选手”标识，避免约束应用错误；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可行域无解处理：若约束条件过紧导致无解，可适当增大松弛因子δ或最大可行域半径T_max，或检查数据是否存在异常；第28季双阶段约束无解时，可适当调整虚拟变量约束的M值；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超参数优化：通过交叉验证确定最优超参数组合，例如α可在[0.6, 0.8]区间内以0.05为步长遍历，β可在[0.1, 0.3]区间优化，选择平均ACC最高的取值；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争议案例处理：对于评委分低但晋级/夺冠的争议案例，通过调整行业权重（γᵢ'）和随机扰动项分布（εᵢₜ正向偏移）适配，无需额外添加稳健性修正；若估算结果仍不符合预期，可微调β值；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第28季赛制适配：需严格区分赛季标识，确保第28季及以后赛季同时应用排名制约束和双阶段终裁约束，避免混淆单阶段与双阶段的约束逻辑；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确定性指数解读：第28季及以后的确定性指数因评委终裁有所降低，属于正常现象，解读时需结合双阶段流程，不可单纯以数值高低判定结果可靠性。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69009">
    <w:lvl>
      <w:numFmt w:val="bullet"/>
      <w:suff w:val="tab"/>
      <w:lvlText w:val="•"/>
      <w:rPr>
        <w:color w:val="3370ff"/>
      </w:rPr>
    </w:lvl>
  </w:abstractNum>
  <w:abstractNum w:abstractNumId="2369010">
    <w:lvl>
      <w:numFmt w:val="bullet"/>
      <w:suff w:val="tab"/>
      <w:lvlText w:val="•"/>
      <w:rPr>
        <w:color w:val="3370ff"/>
      </w:rPr>
    </w:lvl>
  </w:abstractNum>
  <w:abstractNum w:abstractNumId="2369011">
    <w:lvl>
      <w:numFmt w:val="bullet"/>
      <w:suff w:val="tab"/>
      <w:lvlText w:val="•"/>
      <w:rPr>
        <w:color w:val="3370ff"/>
      </w:rPr>
    </w:lvl>
  </w:abstractNum>
  <w:abstractNum w:abstractNumId="2369012">
    <w:lvl>
      <w:numFmt w:val="bullet"/>
      <w:suff w:val="tab"/>
      <w:lvlText w:val="•"/>
      <w:rPr>
        <w:color w:val="3370ff"/>
      </w:rPr>
    </w:lvl>
  </w:abstractNum>
  <w:abstractNum w:abstractNumId="2369013">
    <w:lvl>
      <w:numFmt w:val="bullet"/>
      <w:suff w:val="tab"/>
      <w:lvlText w:val="•"/>
      <w:rPr>
        <w:color w:val="3370ff"/>
      </w:rPr>
    </w:lvl>
  </w:abstractNum>
  <w:abstractNum w:abstractNumId="2369014">
    <w:lvl>
      <w:numFmt w:val="bullet"/>
      <w:suff w:val="tab"/>
      <w:lvlText w:val="•"/>
      <w:rPr>
        <w:color w:val="3370ff"/>
      </w:rPr>
    </w:lvl>
  </w:abstractNum>
  <w:abstractNum w:abstractNumId="2369015">
    <w:lvl>
      <w:numFmt w:val="bullet"/>
      <w:suff w:val="tab"/>
      <w:lvlText w:val="•"/>
      <w:rPr>
        <w:color w:val="3370ff"/>
      </w:rPr>
    </w:lvl>
  </w:abstractNum>
  <w:abstractNum w:abstractNumId="2369016">
    <w:lvl>
      <w:numFmt w:val="bullet"/>
      <w:suff w:val="tab"/>
      <w:lvlText w:val="•"/>
      <w:rPr>
        <w:color w:val="3370ff"/>
      </w:rPr>
    </w:lvl>
  </w:abstractNum>
  <w:abstractNum w:abstractNumId="2369017">
    <w:lvl>
      <w:numFmt w:val="bullet"/>
      <w:suff w:val="tab"/>
      <w:lvlText w:val="•"/>
      <w:rPr>
        <w:color w:val="3370ff"/>
      </w:rPr>
    </w:lvl>
  </w:abstractNum>
  <w:abstractNum w:abstractNumId="2369018">
    <w:lvl>
      <w:numFmt w:val="bullet"/>
      <w:suff w:val="tab"/>
      <w:lvlText w:val="•"/>
      <w:rPr>
        <w:color w:val="3370ff"/>
      </w:rPr>
    </w:lvl>
  </w:abstractNum>
  <w:abstractNum w:abstractNumId="2369019">
    <w:lvl>
      <w:numFmt w:val="bullet"/>
      <w:suff w:val="tab"/>
      <w:lvlText w:val="•"/>
      <w:rPr>
        <w:color w:val="3370ff"/>
      </w:rPr>
    </w:lvl>
  </w:abstractNum>
  <w:abstractNum w:abstractNumId="2369020">
    <w:lvl>
      <w:numFmt w:val="bullet"/>
      <w:suff w:val="tab"/>
      <w:lvlText w:val="•"/>
      <w:rPr>
        <w:color w:val="3370ff"/>
      </w:rPr>
    </w:lvl>
  </w:abstractNum>
  <w:abstractNum w:abstractNumId="2369021">
    <w:lvl>
      <w:numFmt w:val="bullet"/>
      <w:suff w:val="tab"/>
      <w:lvlText w:val="•"/>
      <w:rPr>
        <w:color w:val="3370ff"/>
      </w:rPr>
    </w:lvl>
  </w:abstractNum>
  <w:abstractNum w:abstractNumId="2369022">
    <w:lvl>
      <w:numFmt w:val="bullet"/>
      <w:suff w:val="tab"/>
      <w:lvlText w:val="•"/>
      <w:rPr>
        <w:color w:val="3370ff"/>
      </w:rPr>
    </w:lvl>
  </w:abstractNum>
  <w:abstractNum w:abstractNumId="2369023">
    <w:lvl>
      <w:start w:val="1"/>
      <w:numFmt w:val="decimal"/>
      <w:suff w:val="tab"/>
      <w:lvlText w:val="%1."/>
      <w:rPr>
        <w:color w:val="3370ff"/>
      </w:rPr>
    </w:lvl>
  </w:abstractNum>
  <w:abstractNum w:abstractNumId="2369024">
    <w:lvl>
      <w:start w:val="2"/>
      <w:numFmt w:val="decimal"/>
      <w:suff w:val="tab"/>
      <w:lvlText w:val="%1."/>
      <w:rPr>
        <w:color w:val="3370ff"/>
      </w:rPr>
    </w:lvl>
  </w:abstractNum>
  <w:abstractNum w:abstractNumId="2369025">
    <w:lvl>
      <w:start w:val="3"/>
      <w:numFmt w:val="decimal"/>
      <w:suff w:val="tab"/>
      <w:lvlText w:val="%1."/>
      <w:rPr>
        <w:color w:val="3370ff"/>
      </w:rPr>
    </w:lvl>
  </w:abstractNum>
  <w:abstractNum w:abstractNumId="2369026">
    <w:lvl>
      <w:start w:val="4"/>
      <w:numFmt w:val="decimal"/>
      <w:suff w:val="tab"/>
      <w:lvlText w:val="%1."/>
      <w:rPr>
        <w:color w:val="3370ff"/>
      </w:rPr>
    </w:lvl>
  </w:abstractNum>
  <w:abstractNum w:abstractNumId="2369027">
    <w:lvl>
      <w:start w:val="1"/>
      <w:numFmt w:val="decimal"/>
      <w:suff w:val="tab"/>
      <w:lvlText w:val="%1."/>
      <w:rPr>
        <w:color w:val="3370ff"/>
      </w:rPr>
    </w:lvl>
  </w:abstractNum>
  <w:abstractNum w:abstractNumId="2369028">
    <w:lvl>
      <w:start w:val="2"/>
      <w:numFmt w:val="decimal"/>
      <w:suff w:val="tab"/>
      <w:lvlText w:val="%1."/>
      <w:rPr>
        <w:color w:val="3370ff"/>
      </w:rPr>
    </w:lvl>
  </w:abstractNum>
  <w:abstractNum w:abstractNumId="2369029">
    <w:lvl>
      <w:start w:val="1"/>
      <w:numFmt w:val="decimal"/>
      <w:suff w:val="tab"/>
      <w:lvlText w:val="%1."/>
      <w:rPr>
        <w:color w:val="3370ff"/>
      </w:rPr>
    </w:lvl>
  </w:abstractNum>
  <w:abstractNum w:abstractNumId="2369030">
    <w:lvl>
      <w:start w:val="2"/>
      <w:numFmt w:val="decimal"/>
      <w:suff w:val="tab"/>
      <w:lvlText w:val="%1."/>
      <w:rPr>
        <w:color w:val="3370ff"/>
      </w:rPr>
    </w:lvl>
  </w:abstractNum>
  <w:abstractNum w:abstractNumId="2369031">
    <w:lvl>
      <w:start w:val="3"/>
      <w:numFmt w:val="decimal"/>
      <w:suff w:val="tab"/>
      <w:lvlText w:val="%1."/>
      <w:rPr>
        <w:color w:val="3370ff"/>
      </w:rPr>
    </w:lvl>
  </w:abstractNum>
  <w:abstractNum w:abstractNumId="2369032">
    <w:lvl>
      <w:numFmt w:val="bullet"/>
      <w:suff w:val="tab"/>
      <w:lvlText w:val="•"/>
      <w:rPr>
        <w:color w:val="3370ff"/>
      </w:rPr>
    </w:lvl>
  </w:abstractNum>
  <w:abstractNum w:abstractNumId="2369033">
    <w:lvl>
      <w:numFmt w:val="bullet"/>
      <w:suff w:val="tab"/>
      <w:lvlText w:val="•"/>
      <w:rPr>
        <w:color w:val="3370ff"/>
      </w:rPr>
    </w:lvl>
  </w:abstractNum>
  <w:abstractNum w:abstractNumId="2369034">
    <w:lvl>
      <w:numFmt w:val="bullet"/>
      <w:suff w:val="tab"/>
      <w:lvlText w:val="•"/>
      <w:rPr>
        <w:color w:val="3370ff"/>
      </w:rPr>
    </w:lvl>
  </w:abstractNum>
  <w:abstractNum w:abstractNumId="2369035">
    <w:lvl>
      <w:numFmt w:val="bullet"/>
      <w:suff w:val="tab"/>
      <w:lvlText w:val="•"/>
      <w:rPr>
        <w:color w:val="3370ff"/>
      </w:rPr>
    </w:lvl>
  </w:abstractNum>
  <w:abstractNum w:abstractNumId="2369036">
    <w:lvl>
      <w:numFmt w:val="bullet"/>
      <w:suff w:val="tab"/>
      <w:lvlText w:val="•"/>
      <w:rPr>
        <w:color w:val="3370ff"/>
      </w:rPr>
    </w:lvl>
  </w:abstractNum>
  <w:abstractNum w:abstractNumId="2369037">
    <w:lvl>
      <w:numFmt w:val="bullet"/>
      <w:suff w:val="tab"/>
      <w:lvlText w:val="•"/>
      <w:rPr>
        <w:color w:val="3370ff"/>
      </w:rPr>
    </w:lvl>
  </w:abstractNum>
  <w:abstractNum w:abstractNumId="2369038">
    <w:lvl>
      <w:numFmt w:val="bullet"/>
      <w:suff w:val="tab"/>
      <w:lvlText w:val="•"/>
      <w:rPr>
        <w:color w:val="3370ff"/>
      </w:rPr>
    </w:lvl>
  </w:abstractNum>
  <w:abstractNum w:abstractNumId="2369039">
    <w:lvl>
      <w:numFmt w:val="bullet"/>
      <w:suff w:val="tab"/>
      <w:lvlText w:val="•"/>
      <w:rPr>
        <w:color w:val="3370ff"/>
      </w:rPr>
    </w:lvl>
  </w:abstractNum>
  <w:abstractNum w:abstractNumId="2369040">
    <w:lvl>
      <w:numFmt w:val="bullet"/>
      <w:suff w:val="tab"/>
      <w:lvlText w:val="•"/>
      <w:rPr>
        <w:color w:val="3370ff"/>
      </w:rPr>
    </w:lvl>
  </w:abstractNum>
  <w:abstractNum w:abstractNumId="2369041">
    <w:lvl>
      <w:numFmt w:val="bullet"/>
      <w:suff w:val="tab"/>
      <w:lvlText w:val="•"/>
      <w:rPr>
        <w:color w:val="3370ff"/>
      </w:rPr>
    </w:lvl>
  </w:abstractNum>
  <w:abstractNum w:abstractNumId="2369042">
    <w:lvl>
      <w:numFmt w:val="bullet"/>
      <w:suff w:val="tab"/>
      <w:lvlText w:val="•"/>
      <w:rPr>
        <w:color w:val="3370ff"/>
      </w:rPr>
    </w:lvl>
  </w:abstractNum>
  <w:abstractNum w:abstractNumId="2369043">
    <w:lvl>
      <w:numFmt w:val="bullet"/>
      <w:suff w:val="tab"/>
      <w:lvlText w:val="•"/>
      <w:rPr>
        <w:color w:val="3370ff"/>
      </w:rPr>
    </w:lvl>
  </w:abstractNum>
  <w:abstractNum w:abstractNumId="2369044">
    <w:lvl>
      <w:numFmt w:val="bullet"/>
      <w:suff w:val="tab"/>
      <w:lvlText w:val="•"/>
      <w:rPr>
        <w:color w:val="3370ff"/>
      </w:rPr>
    </w:lvl>
  </w:abstractNum>
  <w:abstractNum w:abstractNumId="2369045">
    <w:lvl>
      <w:numFmt w:val="bullet"/>
      <w:suff w:val="tab"/>
      <w:lvlText w:val="•"/>
      <w:rPr>
        <w:color w:val="3370ff"/>
      </w:rPr>
    </w:lvl>
  </w:abstractNum>
  <w:abstractNum w:abstractNumId="2369046">
    <w:lvl>
      <w:numFmt w:val="bullet"/>
      <w:suff w:val="tab"/>
      <w:lvlText w:val="•"/>
      <w:rPr>
        <w:color w:val="3370ff"/>
      </w:rPr>
    </w:lvl>
  </w:abstractNum>
  <w:abstractNum w:abstractNumId="2369047">
    <w:lvl>
      <w:numFmt w:val="bullet"/>
      <w:suff w:val="tab"/>
      <w:lvlText w:val="•"/>
      <w:rPr>
        <w:color w:val="3370ff"/>
      </w:rPr>
    </w:lvl>
  </w:abstractNum>
  <w:abstractNum w:abstractNumId="2369048">
    <w:lvl>
      <w:numFmt w:val="bullet"/>
      <w:suff w:val="tab"/>
      <w:lvlText w:val="•"/>
      <w:rPr>
        <w:color w:val="3370ff"/>
      </w:rPr>
    </w:lvl>
  </w:abstractNum>
  <w:abstractNum w:abstractNumId="2369049">
    <w:lvl>
      <w:numFmt w:val="bullet"/>
      <w:suff w:val="tab"/>
      <w:lvlText w:val="•"/>
      <w:rPr>
        <w:color w:val="3370ff"/>
      </w:rPr>
    </w:lvl>
  </w:abstractNum>
  <w:abstractNum w:abstractNumId="2369050">
    <w:lvl>
      <w:numFmt w:val="bullet"/>
      <w:suff w:val="tab"/>
      <w:lvlText w:val="•"/>
      <w:rPr>
        <w:color w:val="3370ff"/>
      </w:rPr>
    </w:lvl>
  </w:abstractNum>
  <w:abstractNum w:abstractNumId="2369051">
    <w:lvl>
      <w:numFmt w:val="bullet"/>
      <w:suff w:val="tab"/>
      <w:lvlText w:val="•"/>
      <w:rPr>
        <w:color w:val="3370ff"/>
      </w:rPr>
    </w:lvl>
  </w:abstractNum>
  <w:abstractNum w:abstractNumId="2369052">
    <w:lvl>
      <w:numFmt w:val="bullet"/>
      <w:suff w:val="tab"/>
      <w:lvlText w:val="•"/>
      <w:rPr>
        <w:color w:val="3370ff"/>
      </w:rPr>
    </w:lvl>
  </w:abstractNum>
  <w:abstractNum w:abstractNumId="2369053">
    <w:lvl>
      <w:numFmt w:val="bullet"/>
      <w:suff w:val="tab"/>
      <w:lvlText w:val="•"/>
      <w:rPr>
        <w:color w:val="3370ff"/>
      </w:rPr>
    </w:lvl>
  </w:abstractNum>
  <w:abstractNum w:abstractNumId="2369054">
    <w:lvl>
      <w:numFmt w:val="bullet"/>
      <w:suff w:val="tab"/>
      <w:lvlText w:val="•"/>
      <w:rPr>
        <w:color w:val="3370ff"/>
      </w:rPr>
    </w:lvl>
  </w:abstractNum>
  <w:abstractNum w:abstractNumId="2369055">
    <w:lvl>
      <w:numFmt w:val="bullet"/>
      <w:suff w:val="tab"/>
      <w:lvlText w:val="•"/>
      <w:rPr>
        <w:color w:val="3370ff"/>
      </w:rPr>
    </w:lvl>
  </w:abstractNum>
  <w:abstractNum w:abstractNumId="2369056">
    <w:lvl>
      <w:numFmt w:val="bullet"/>
      <w:suff w:val="tab"/>
      <w:lvlText w:val="•"/>
      <w:rPr>
        <w:color w:val="3370ff"/>
      </w:rPr>
    </w:lvl>
  </w:abstractNum>
  <w:abstractNum w:abstractNumId="2369057">
    <w:lvl>
      <w:numFmt w:val="bullet"/>
      <w:suff w:val="tab"/>
      <w:lvlText w:val="•"/>
      <w:rPr>
        <w:color w:val="3370ff"/>
      </w:rPr>
    </w:lvl>
  </w:abstractNum>
  <w:abstractNum w:abstractNumId="2369058">
    <w:lvl>
      <w:numFmt w:val="bullet"/>
      <w:suff w:val="tab"/>
      <w:lvlText w:val="•"/>
      <w:rPr>
        <w:color w:val="3370ff"/>
      </w:rPr>
    </w:lvl>
  </w:abstractNum>
  <w:abstractNum w:abstractNumId="2369059">
    <w:lvl>
      <w:start w:val="1"/>
      <w:numFmt w:val="decimal"/>
      <w:suff w:val="tab"/>
      <w:lvlText w:val="%1."/>
      <w:rPr>
        <w:color w:val="3370ff"/>
      </w:rPr>
    </w:lvl>
  </w:abstractNum>
  <w:abstractNum w:abstractNumId="2369060">
    <w:lvl>
      <w:start w:val="2"/>
      <w:numFmt w:val="decimal"/>
      <w:suff w:val="tab"/>
      <w:lvlText w:val="%1."/>
      <w:rPr>
        <w:color w:val="3370ff"/>
      </w:rPr>
    </w:lvl>
  </w:abstractNum>
  <w:abstractNum w:abstractNumId="2369061">
    <w:lvl>
      <w:start w:val="3"/>
      <w:numFmt w:val="decimal"/>
      <w:suff w:val="tab"/>
      <w:lvlText w:val="%1."/>
      <w:rPr>
        <w:color w:val="3370ff"/>
      </w:rPr>
    </w:lvl>
  </w:abstractNum>
  <w:abstractNum w:abstractNumId="2369062">
    <w:lvl>
      <w:start w:val="4"/>
      <w:numFmt w:val="decimal"/>
      <w:suff w:val="tab"/>
      <w:lvlText w:val="%1."/>
      <w:rPr>
        <w:color w:val="3370ff"/>
      </w:rPr>
    </w:lvl>
  </w:abstractNum>
  <w:abstractNum w:abstractNumId="2369063">
    <w:lvl>
      <w:start w:val="5"/>
      <w:numFmt w:val="decimal"/>
      <w:suff w:val="tab"/>
      <w:lvlText w:val="%1."/>
      <w:rPr>
        <w:color w:val="3370ff"/>
      </w:rPr>
    </w:lvl>
  </w:abstractNum>
  <w:abstractNum w:abstractNumId="236906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369009"/>
  </w:num>
  <w:num w:numId="2">
    <w:abstractNumId w:val="2369010"/>
  </w:num>
  <w:num w:numId="3">
    <w:abstractNumId w:val="2369011"/>
  </w:num>
  <w:num w:numId="4">
    <w:abstractNumId w:val="2369012"/>
  </w:num>
  <w:num w:numId="5">
    <w:abstractNumId w:val="2369013"/>
  </w:num>
  <w:num w:numId="6">
    <w:abstractNumId w:val="2369014"/>
  </w:num>
  <w:num w:numId="7">
    <w:abstractNumId w:val="2369015"/>
  </w:num>
  <w:num w:numId="8">
    <w:abstractNumId w:val="2369016"/>
  </w:num>
  <w:num w:numId="9">
    <w:abstractNumId w:val="2369017"/>
  </w:num>
  <w:num w:numId="10">
    <w:abstractNumId w:val="2369018"/>
  </w:num>
  <w:num w:numId="11">
    <w:abstractNumId w:val="2369019"/>
  </w:num>
  <w:num w:numId="12">
    <w:abstractNumId w:val="2369020"/>
  </w:num>
  <w:num w:numId="13">
    <w:abstractNumId w:val="2369021"/>
  </w:num>
  <w:num w:numId="14">
    <w:abstractNumId w:val="2369022"/>
  </w:num>
  <w:num w:numId="15">
    <w:abstractNumId w:val="2369023"/>
  </w:num>
  <w:num w:numId="16">
    <w:abstractNumId w:val="2369024"/>
  </w:num>
  <w:num w:numId="17">
    <w:abstractNumId w:val="2369025"/>
  </w:num>
  <w:num w:numId="18">
    <w:abstractNumId w:val="2369026"/>
  </w:num>
  <w:num w:numId="19">
    <w:abstractNumId w:val="2369027"/>
  </w:num>
  <w:num w:numId="20">
    <w:abstractNumId w:val="2369028"/>
  </w:num>
  <w:num w:numId="21">
    <w:abstractNumId w:val="2369029"/>
  </w:num>
  <w:num w:numId="22">
    <w:abstractNumId w:val="2369030"/>
  </w:num>
  <w:num w:numId="23">
    <w:abstractNumId w:val="2369031"/>
  </w:num>
  <w:num w:numId="24">
    <w:abstractNumId w:val="2369032"/>
  </w:num>
  <w:num w:numId="25">
    <w:abstractNumId w:val="2369033"/>
  </w:num>
  <w:num w:numId="26">
    <w:abstractNumId w:val="2369034"/>
  </w:num>
  <w:num w:numId="27">
    <w:abstractNumId w:val="2369035"/>
  </w:num>
  <w:num w:numId="28">
    <w:abstractNumId w:val="2369036"/>
  </w:num>
  <w:num w:numId="29">
    <w:abstractNumId w:val="2369037"/>
  </w:num>
  <w:num w:numId="30">
    <w:abstractNumId w:val="2369038"/>
  </w:num>
  <w:num w:numId="31">
    <w:abstractNumId w:val="2369039"/>
  </w:num>
  <w:num w:numId="32">
    <w:abstractNumId w:val="2369040"/>
  </w:num>
  <w:num w:numId="33">
    <w:abstractNumId w:val="2369041"/>
  </w:num>
  <w:num w:numId="34">
    <w:abstractNumId w:val="2369042"/>
  </w:num>
  <w:num w:numId="35">
    <w:abstractNumId w:val="2369043"/>
  </w:num>
  <w:num w:numId="36">
    <w:abstractNumId w:val="2369044"/>
  </w:num>
  <w:num w:numId="37">
    <w:abstractNumId w:val="2369045"/>
  </w:num>
  <w:num w:numId="38">
    <w:abstractNumId w:val="2369046"/>
  </w:num>
  <w:num w:numId="39">
    <w:abstractNumId w:val="2369047"/>
  </w:num>
  <w:num w:numId="40">
    <w:abstractNumId w:val="2369048"/>
  </w:num>
  <w:num w:numId="41">
    <w:abstractNumId w:val="2369049"/>
  </w:num>
  <w:num w:numId="42">
    <w:abstractNumId w:val="2369050"/>
  </w:num>
  <w:num w:numId="43">
    <w:abstractNumId w:val="2369051"/>
  </w:num>
  <w:num w:numId="44">
    <w:abstractNumId w:val="2369052"/>
  </w:num>
  <w:num w:numId="45">
    <w:abstractNumId w:val="2369053"/>
  </w:num>
  <w:num w:numId="46">
    <w:abstractNumId w:val="2369054"/>
  </w:num>
  <w:num w:numId="47">
    <w:abstractNumId w:val="2369055"/>
  </w:num>
  <w:num w:numId="48">
    <w:abstractNumId w:val="2369056"/>
  </w:num>
  <w:num w:numId="49">
    <w:abstractNumId w:val="2369057"/>
  </w:num>
  <w:num w:numId="50">
    <w:abstractNumId w:val="2369058"/>
  </w:num>
  <w:num w:numId="51">
    <w:abstractNumId w:val="2369059"/>
  </w:num>
  <w:num w:numId="52">
    <w:abstractNumId w:val="2369060"/>
  </w:num>
  <w:num w:numId="53">
    <w:abstractNumId w:val="2369061"/>
  </w:num>
  <w:num w:numId="54">
    <w:abstractNumId w:val="2369062"/>
  </w:num>
  <w:num w:numId="55">
    <w:abstractNumId w:val="2369063"/>
  </w:num>
  <w:num w:numId="56">
    <w:abstractNumId w:val="23690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2026-01-30T09:39:55Z</dcterms:created>
  <dc:creator>Apache POI</dc:creator>
</cp:coreProperties>
</file>